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3061414e45014fb8"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13578</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III. OSNOVNA ŠKOLA ČAKOVEC</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31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814.507,22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875.236,96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107,5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927.980,91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864.669,72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93,2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10.567,24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1.897,50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4.455,46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234,8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1.897,50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4.455,46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234,8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I PRIMITAKA (šifre X678-Y345)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6.111,78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bl>
    <w:p>
      <w:pPr>
        <w:spacing w:before="0" w:after="0"/>
      </w:pPr>
    </w:p>
    <w:p>
      <w:r>
        <w:rPr>
          <w:b/>
        </w:rPr>
        <w:t xml:space="preserve">Naziv škole: </w:t>
      </w:r>
      <w:r>
        <w:t xml:space="preserve">III. osnovna škola Čakovec</w:t>
      </w:r>
    </w:p>
    <w:p>
      <w:r>
        <w:rPr>
          <w:b/>
        </w:rPr>
        <w:t xml:space="preserve">Adresa škole: </w:t>
      </w:r>
      <w:r>
        <w:t xml:space="preserve">Ivana pl. Zajca 24, 40000 Čakovec</w:t>
      </w:r>
    </w:p>
    <w:p>
      <w:r>
        <w:rPr>
          <w:b/>
        </w:rPr>
        <w:t xml:space="preserve">OIB ŠKOLE: </w:t>
      </w:r>
      <w:r>
        <w:t xml:space="preserve">74402534883</w:t>
      </w:r>
    </w:p>
    <w:p>
      <w:r>
        <w:rPr>
          <w:b/>
        </w:rPr>
        <w:t xml:space="preserve">RKP</w:t>
      </w:r>
      <w:r>
        <w:t xml:space="preserve">: 13578</w:t>
      </w:r>
    </w:p>
    <w:p>
      <w:r>
        <w:rPr>
          <w:b/>
        </w:rPr>
        <w:t xml:space="preserve">OSNIVAČ ŠKOLE:</w:t>
      </w:r>
      <w:r>
        <w:t xml:space="preserve"> GRAD ČAKOVEC</w:t>
      </w:r>
    </w:p>
    <w:p>
      <w:r>
        <w:t xml:space="preserve">Škola je javna ustanova koja obavlja djelatnost osnovnog obrazovanja temeljem Zakona o odgoju i obrazovanju u osnovnoj i srednjoj školi i  Statuta škole. U sastavu Škole posluje  školska kuhinja i produženi boravak.</w:t>
      </w:r>
    </w:p>
    <w:p>
      <w:r>
        <w:t xml:space="preserve">Školom upravlja Školski odbor, a osoba ovlaštena za zastupanje škole u izvještajnom razdoblju je ravnateljica Ksenija Gačal.</w:t>
      </w:r>
    </w:p>
    <w:p>
      <w:r>
        <w:t xml:space="preserve">Za vođenje proračunskog računovodstva i sastavljanje izvještaja odgovorna je voditeljica računovodstva Marija  Vodopija.</w:t>
      </w:r>
    </w:p>
    <w:p>
      <w:r>
        <w:t xml:space="preserve">Financijski izvještaji škole za razdoblje od 1. siječnja do 30. lipnja 2026. godine sastavljeni su u skladu sa Zakonom o proračunu i važećim Pravilnikom o proračunskom računovodstvu i Računskom planu.</w:t>
      </w:r>
    </w:p>
    <w:p>
      <w:r>
        <w:t xml:space="preserve">Financijsko poslovanje škole se vodi preko jedinstvenog računa riznice osnivača škole odnosno  Grada Čakovca. U iskazivanju prihoda i rashoda primjenjuje se modificirano novčano načelo odnosno prihodi se priznaju  kada su raspoloživi, a rashodi u trenutku nastanka poslovnog događaja</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proračunskim korisnicima iz proračuna koji im nije nadležan</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691.928,39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747.124,50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108,0</w:t>
            </w:r>
          </w:p>
        </w:tc>
      </w:tr>
    </w:tbl>
    <w:p>
      <w:pPr>
        <w:spacing w:before="0" w:after="0"/>
      </w:pPr>
    </w:p>
    <w:p>
      <w:r>
        <w:t xml:space="preserve">Na računu 6361 iskazani su prihode koje škola ostvaruje iz državnog proračuna za plaće, materijalna prava, prehranu učenika, prijevoz učenika s teškoćama, rad županijskih stručnih vijeća. Ostvareni iznos  je 8 % veći u odnosu na isto razdoblje prethodne godine zbog rasta  osnovice za obračun plaća i povećanja broja zaposlenih u obračunskom razdoblju ove godine. Od 19. 01. 2026. u školi je zaposlen jedan  operativni djelatnik za sigurnost i civilnu zaštitu, a od 16. 02. 2026. još jedan.</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6391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Tekući prijenosi između proračunskih korisnika istog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4.526,38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702,31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15,5</w:t>
            </w:r>
          </w:p>
        </w:tc>
      </w:tr>
    </w:tbl>
    <w:p>
      <w:pPr>
        <w:spacing w:before="0" w:after="0"/>
      </w:pPr>
    </w:p>
    <w:p>
      <w:r>
        <w:t xml:space="preserve">Na računu 6391 smo ostvarili  samo 15,5 % prihoda u odnosu na isto razdoblje prethodne godine. Sredstva ostvarena prethodne godine  od  Grada Čakovca odnose se na sredstva za preinaku sigurnosnih  brava na ulaznim vratima škole. Ove godine su sredstva ostvarena prema Ugovoru  o korištenju sredstava iz Proračuna  Grada Čakovca za odlazak učenika na  međunarodno natjecanje u Engleskom jeziku u iznosu od 660,00 eura i sredstva temeljem Zahtjeva škole za financiranje dnevnice za učiteljicu koja je pratila učenike u Zagreb na konstituirajuću  sjednicu Dječjeg savjetodavnog odbora u iznosu od 42,31 eura.</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prihodi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32.245,20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38.933,73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120,7</w:t>
            </w:r>
          </w:p>
        </w:tc>
      </w:tr>
    </w:tbl>
    <w:p>
      <w:pPr>
        <w:spacing w:before="0" w:after="0"/>
      </w:pPr>
    </w:p>
    <w:p>
      <w:r>
        <w:t xml:space="preserve">Na računu 6526 su iskazane  uplate roditelja za  produženi boravak, terenske nastave, ulaznice za predstave i  projekcije filmova i sl. Ostvareno je 20,7 % više prihoda u odnosu na isto razdoblje prethodne godine jer je više jednodnevnih terenskih nastava  plaćano preko škole i bilo je više posjeta projekciji filmova.</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pruženih usluga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2.594,93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2.763,50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106,5</w:t>
            </w:r>
          </w:p>
        </w:tc>
      </w:tr>
    </w:tbl>
    <w:p>
      <w:pPr>
        <w:spacing w:before="0" w:after="0"/>
      </w:pPr>
    </w:p>
    <w:p>
      <w:r>
        <w:t xml:space="preserve">Na računu 6615 iskazani  su prihodi ostvareni iznajmljivanjem dvorane i za prehranu djelatnika.</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donacije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1.080,00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Tekuće donacije su ostvarene  od pravnih osoba za sufinanciranje  odlaska učenika na međunarodno natjecanje iz  Engleskog jezika.</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donacije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3.892,96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1946,5</w:t>
            </w:r>
          </w:p>
        </w:tc>
      </w:tr>
    </w:tbl>
    <w:p>
      <w:pPr>
        <w:spacing w:before="0" w:after="0"/>
      </w:pPr>
    </w:p>
    <w:p>
      <w:r>
        <w:t xml:space="preserve">Kapitalne donacije se ostvarene prijavom na HEP-ov natječaja  u vidu  4 osobna računala s monitorom.</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rashoda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79.699,21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80.739,79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101,3</w:t>
            </w:r>
          </w:p>
        </w:tc>
      </w:tr>
    </w:tbl>
    <w:p>
      <w:pPr>
        <w:spacing w:before="0" w:after="0"/>
      </w:pPr>
    </w:p>
    <w:p>
      <w:r>
        <w:t xml:space="preserve">Na računu  6711 su iskazana  sredstva za redovno poslovanje Škole,  produženi boravak, nastavu   Građanski odgoj  i financiranje tehničke podrške za mrežu škola. Ostvarena sredstva su za 1,3 % veća u odnosu na isto razdoblje prethodne godine zbog povećanja  osnovice za plaće u produženom boravku.  Uvođenje sustava riznice od 01. 01. 2026.  sredstva se iskazuju u prihodima u trenutku plaćanja određenog troška, a ne prema uplaćenim mjesečnim iznosima kako je to bilo prethodne godine. </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683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prihodi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530,19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w:t>
            </w:r>
          </w:p>
        </w:tc>
      </w:tr>
    </w:tbl>
    <w:p>
      <w:pPr>
        <w:spacing w:before="0" w:after="0"/>
      </w:pPr>
    </w:p>
    <w:p>
      <w:r>
        <w:t xml:space="preserve">Na računu 683 smo prethodne godine iskazivali prihode za potrošnju vode  koju smo fakturirali Centru za odgoj i obrazovanje. Budući da je  COO odselio na drugu  lokaciju, a dio zgrade koji su oni koristili je prazan takvih prihoda nemamo. </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za redovan rad</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662.921,91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600.746,22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90,6</w:t>
            </w:r>
          </w:p>
        </w:tc>
      </w:tr>
    </w:tbl>
    <w:p>
      <w:pPr>
        <w:spacing w:before="0" w:after="0"/>
      </w:pPr>
    </w:p>
    <w:p>
      <w:r>
        <w:t xml:space="preserve">Na računu 3111 iskazan je  trošak plaće za redovan rad koji je 9,4 % manji u odnosu na prethodnu godinu unatoč povećanju plaće. Trošak je manji jer je prethodne godine bilo  iskazano sedam izdataka za plaću zbog ukidanja računa 19111. Prethodne godine je u rashodima bila iskazana plaća za 12. mjesec 2024. i obračunata, a neisplaćena plaća za  lipanj 2025., a ove godine u rashodima su iskazane plaće od  siječnja do lipnja 2026.</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za prekovremeni rad</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13.373,52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12.871,65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96,2</w:t>
            </w:r>
          </w:p>
        </w:tc>
      </w:tr>
    </w:tbl>
    <w:p>
      <w:pPr>
        <w:spacing w:before="0" w:after="0"/>
      </w:pPr>
    </w:p>
    <w:p>
      <w:r>
        <w:t xml:space="preserve">Na računu 3113 su rashodi iskazani za 3,8 % manje u odnosu na prethodnu godinu također  zbog sedam rashoda  iskazanih u prethodnoj godini.</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rashodi za zaposlene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21.314,73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23.064,55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108,2</w:t>
            </w:r>
          </w:p>
        </w:tc>
      </w:tr>
    </w:tbl>
    <w:p>
      <w:pPr>
        <w:spacing w:before="0" w:after="0"/>
      </w:pPr>
    </w:p>
    <w:p>
      <w:r>
        <w:t xml:space="preserve">Na računu 312 - Ostali rashodi za zaposlene iskazani su rashodi koje se isplaćuju zaposlenicima temeljem materijalnih prava iz Kolektivnog ugovora. u tekućem razdoblju su izdaci veći u odnosu na prethodnu godinu jer imamo dva radnika više zaposlena, dvije radnice su se vratile s roditeljskog dopusta pa su ostvarile pravo na regres za prethodnu godinu.</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Doprinosi za obvezno zdravstveno osiguranje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106.836,30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99.035,61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92,7</w:t>
            </w:r>
          </w:p>
        </w:tc>
      </w:tr>
    </w:tbl>
    <w:p>
      <w:pPr>
        <w:spacing w:before="0" w:after="0"/>
      </w:pPr>
    </w:p>
    <w:p>
      <w:r>
        <w:t xml:space="preserve">Na računu 3132 u prethodnoj godini je iskazano 7 rashoda, a u tekućem razdoblju 6.</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putovanja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4.109,81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5.683,47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138,3</w:t>
            </w:r>
          </w:p>
        </w:tc>
      </w:tr>
    </w:tbl>
    <w:p>
      <w:pPr>
        <w:spacing w:before="0" w:after="0"/>
      </w:pPr>
    </w:p>
    <w:p>
      <w:r>
        <w:t xml:space="preserve">Troškovi službenih putovanja obuhvaćaju troškove pratnje učenika na terensku nastavu, natjecanja i odlazak djelatnika na stručno osposobljavanje.</w:t>
      </w:r>
    </w:p>
    <w:p>
      <w:r>
        <w:t xml:space="preserve">Izdaci su veći u tekućem razdoblju u odnosu na prethodnu godinu zbog odlaska na međunarodno natjecanje iz Engleskog jezika.</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prijevoz, za rad na terenu i odvojeni život</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10.980,77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10.083,65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91,8</w:t>
            </w:r>
          </w:p>
        </w:tc>
      </w:tr>
    </w:tbl>
    <w:p>
      <w:pPr>
        <w:spacing w:before="0" w:after="0"/>
      </w:pPr>
    </w:p>
    <w:p>
      <w:r>
        <w:t xml:space="preserve">Na računu 3212 iskazani su rashodi za naknade za prijevoz na rad i s rada. U istom razdoblju prethodne godine iskazano je sedam rashoda.</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Stručno usavršavanje zaposlenika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492,00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1.310,00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266,3</w:t>
            </w:r>
          </w:p>
        </w:tc>
      </w:tr>
    </w:tbl>
    <w:p>
      <w:pPr>
        <w:spacing w:before="0" w:after="0"/>
      </w:pPr>
    </w:p>
    <w:p>
      <w:r>
        <w:t xml:space="preserve">Na računu 3213 iskazane su  uplaćene kotizacije za stručno usavršavanje, polaganje stručnog ispita i sl. Iznos je u tekućem razdoblju znatno veći u odnosu na prethodnu godinu jer je bilo dosta zamjena za djelatnice na bolovanju, a svi novozaposleni  moraju  položiti  protupžarnu zaštitu i zaštitu na radu.</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Uredski materijal i ostali materijalni rashodi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8.833,88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6.605,08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74,8</w:t>
            </w:r>
          </w:p>
        </w:tc>
      </w:tr>
    </w:tbl>
    <w:p>
      <w:pPr>
        <w:spacing w:before="0" w:after="0"/>
      </w:pPr>
    </w:p>
    <w:p>
      <w:r>
        <w:t xml:space="preserve">Na računu 3221 - Uredski materijal i ostali materijalni rashodi ostvareni su na razini od 74,8 % izdataka iz prethodne godine jer smo u obračunskom razdoblju  prethodne godine  nabavili materijal za psihodijagnostiku za koji  su sredstva osigurana iz državnog proračuna. U tekućoj godini su također uplaćena sredstva za psihodijagnostiku, ali materijal još nije nabavljen.</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 i sirovine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39.082,84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49.228,95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126,0</w:t>
            </w:r>
          </w:p>
        </w:tc>
      </w:tr>
    </w:tbl>
    <w:p>
      <w:pPr>
        <w:spacing w:before="0" w:after="0"/>
      </w:pPr>
    </w:p>
    <w:p>
      <w:r>
        <w:t xml:space="preserve">Na računu 3222 iskazani su izdaci za nabavu namirnice za školsku kuhinju. Iznos je 26 % veći  u odnosu na prethodnu godinu jer nastojimo uvesti što kvalitetnije namirnice u prehranu, a  početkom godine su sklapani  novi ugovori s dobavljačima po  većim cijenama zbog  inflacije.</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Energija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22.342,41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17.019,66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76,2</w:t>
            </w:r>
          </w:p>
        </w:tc>
      </w:tr>
    </w:tbl>
    <w:p>
      <w:pPr>
        <w:spacing w:before="0" w:after="0"/>
      </w:pPr>
    </w:p>
    <w:p>
      <w:r>
        <w:t xml:space="preserve">Račun 3223 obuhvaća troškove električne energija i plina. Izdaci za energiju tekuće godine su  u visini od 76 % izdataka prethodne godine jer je III. OŠ Čakovec plaćala grijanje i za dio zgrade koji je koristio COO Čakovec. S  obzirom da se  taj dio zgrade trenutno ne koristi Troškovi grijanja odnosno energije su manji u odnosu na prethodno obračunsko razdoblje.</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Sitni inventar i autogume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1.152,95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275,15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23,9</w:t>
            </w:r>
          </w:p>
        </w:tc>
      </w:tr>
    </w:tbl>
    <w:p>
      <w:pPr>
        <w:spacing w:before="0" w:after="0"/>
      </w:pPr>
    </w:p>
    <w:p>
      <w:r>
        <w:t xml:space="preserve">U obračunskom razdoblju prethodne godine smo nabavili  ormariće s geometrijskom priborom za učionice u iznosu  od 968,00 eura, a ove godine samo nekakve sitnice za školsku kuhinju.</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radna i zaštitna odjeća i obuća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268,74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Račun 3227 obuhvaća radnu  i zaštitnu odjeću i obuću. U obračunskom razdoblju prethodne godine nismo imali taj trošak, a ove godine smo nabavili radnu odjeću i obuću za operativne djelatnike, kuharice, spremačice i učitelje TZK.</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telefona, interneta, pošte i prijevoza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2.799,38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3.982,15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142,3</w:t>
            </w:r>
          </w:p>
        </w:tc>
      </w:tr>
    </w:tbl>
    <w:p>
      <w:pPr>
        <w:spacing w:before="0" w:after="0"/>
      </w:pPr>
    </w:p>
    <w:p>
      <w:r>
        <w:t xml:space="preserve">Račun 3231 Usluge telefona, interneta, pošte i prijevoza obuhvaća troškove fiksnog i mobilnog telefona, troškove poštarine i prijevoza. U tekućem  obračunskom razdoblju  su veći troškovi prijevoza u odnosu na prethodnu godinu zbog  troškova prijevoza učenika  u Jasenovac i prijevoz učenika u Italiju na međunarodno natjecanje iz  Engleskog jezika.</w:t>
      </w:r>
    </w:p>
    <w:p/>
    <w:p>
      <w:pPr>
        <w:jc w:val="center"/>
        <w:pStyle w:val="Normal"/>
        <w:spacing w:line="240" w:lineRule="auto"/>
        <w:keepNext/>
      </w:pPr>
      <w:r>
        <w:rPr>
          <w:sz w:val="28"/>
          <w:rFonts w:ascii="Times New Roman" w:hAnsi="Times New Roman"/>
        </w:rPr>
        <w:t xml:space="preserve">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3.384,89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2.568,65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75,9</w:t>
            </w:r>
          </w:p>
        </w:tc>
      </w:tr>
    </w:tbl>
    <w:p>
      <w:pPr>
        <w:spacing w:before="0" w:after="0"/>
      </w:pPr>
    </w:p>
    <w:p>
      <w:r>
        <w:t xml:space="preserve">Troškovi komunalne usluge obuhvaćaju i potrošnju vode. Potrošnja vode je u tekućem obračunskom razdoblju manja u odnosu na prethodnu godinu jer je Centar za odgoj i obrazovanje iselio iz  zgrade za koju je III. OŠ dobivala račun za vodu a COO je refundirao dio troška.</w:t>
      </w:r>
    </w:p>
    <w:p/>
    <w:p>
      <w:pPr>
        <w:jc w:val="center"/>
        <w:pStyle w:val="Normal"/>
        <w:spacing w:line="240" w:lineRule="auto"/>
        <w:keepNext/>
      </w:pPr>
      <w:r>
        <w:rPr>
          <w:sz w:val="28"/>
          <w:rFonts w:ascii="Times New Roman" w:hAnsi="Times New Roman"/>
        </w:rPr>
        <w:t xml:space="preserve">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Zdravstvene i veterinarske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531,57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2.951,68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555,3</w:t>
            </w:r>
          </w:p>
        </w:tc>
      </w:tr>
    </w:tbl>
    <w:p>
      <w:pPr>
        <w:spacing w:before="0" w:after="0"/>
      </w:pPr>
    </w:p>
    <w:p>
      <w:r>
        <w:t xml:space="preserve">Izdaci za zdravstvene usluge u tekućem razdoblju su znatno veći (555,3 %) u odnosu na prethodnu godinu jer su zaposlenici  ove godine išli na sistematske preglede  u prvom polugodištu, a prethodne  krajem godine (12. mjesec).</w:t>
      </w:r>
    </w:p>
    <w:p/>
    <w:p>
      <w:pPr>
        <w:jc w:val="center"/>
        <w:pStyle w:val="Normal"/>
        <w:spacing w:line="240" w:lineRule="auto"/>
        <w:keepNext/>
      </w:pPr>
      <w:r>
        <w:rPr>
          <w:sz w:val="28"/>
          <w:rFonts w:ascii="Times New Roman" w:hAnsi="Times New Roman"/>
        </w:rPr>
        <w:t xml:space="preserve">Bilješka 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Intelektualne i osobne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1.798,67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1.173,51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65,2</w:t>
            </w:r>
          </w:p>
        </w:tc>
      </w:tr>
    </w:tbl>
    <w:p>
      <w:pPr>
        <w:spacing w:before="0" w:after="0"/>
      </w:pPr>
    </w:p>
    <w:p>
      <w:r>
        <w:t xml:space="preserve">Na računu 3237 iskazani troškovi u tekućem razdoblju su manji od utrošenih sredstava u istom razdoblju prethodne godine jer smo prethodne godine provodili postupak nabave namirnice u skladu sa Zakonom o javnoj nabavi te smo morali platiti  osobu koja posjeduje certifikat za provođenje postupka javne nabave.</w:t>
      </w:r>
    </w:p>
    <w:p/>
    <w:p>
      <w:pPr>
        <w:jc w:val="center"/>
        <w:pStyle w:val="Normal"/>
        <w:spacing w:line="240" w:lineRule="auto"/>
        <w:keepNext/>
      </w:pPr>
      <w:r>
        <w:rPr>
          <w:sz w:val="28"/>
          <w:rFonts w:ascii="Times New Roman" w:hAnsi="Times New Roman"/>
        </w:rPr>
        <w:t xml:space="preserve">Bilješka 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1.563,00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1.242,38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79,5</w:t>
            </w:r>
          </w:p>
        </w:tc>
      </w:tr>
    </w:tbl>
    <w:p>
      <w:pPr>
        <w:spacing w:before="0" w:after="0"/>
      </w:pPr>
    </w:p>
    <w:p>
      <w:r>
        <w:t xml:space="preserve">3239  - Ostale usluge obuhvaćaju  usluge izrade ključeva, mjerenje štetnih plinova, izrada fotografija za učenike i sl. U tekućem obračunskom razdoblju je izdatak manji u odnosu na prethodno razdoblje jer nam dobavljač s 30. 6. 2026. nije ispostavio račun za fotografiranje učenika.</w:t>
      </w:r>
    </w:p>
    <w:p/>
    <w:p>
      <w:pPr>
        <w:jc w:val="center"/>
        <w:pStyle w:val="Normal"/>
        <w:spacing w:line="240" w:lineRule="auto"/>
        <w:keepNext/>
      </w:pPr>
      <w:r>
        <w:rPr>
          <w:sz w:val="28"/>
          <w:rFonts w:ascii="Times New Roman" w:hAnsi="Times New Roman"/>
        </w:rPr>
        <w:t xml:space="preserve">Bilješka 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rad predstavničkih i izvršnih tijela, povjerenstava i slično</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336,00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Iskazani izdatak na računu 3291 odnosi se na naknadu za obavljeni mentorski rad učiteljice, a prethodne godine taj izdatak nismo imali.</w:t>
      </w:r>
    </w:p>
    <w:p/>
    <w:p>
      <w:pPr>
        <w:jc w:val="center"/>
        <w:pStyle w:val="Normal"/>
        <w:spacing w:line="240" w:lineRule="auto"/>
        <w:keepNext/>
      </w:pPr>
      <w:r>
        <w:rPr>
          <w:sz w:val="28"/>
          <w:rFonts w:ascii="Times New Roman" w:hAnsi="Times New Roman"/>
        </w:rPr>
        <w:t xml:space="preserve">Bilješka 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Pristojbe i naknade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2.100,47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1.323,72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63,0</w:t>
            </w:r>
          </w:p>
        </w:tc>
      </w:tr>
    </w:tbl>
    <w:p>
      <w:pPr>
        <w:spacing w:before="0" w:after="0"/>
      </w:pPr>
    </w:p>
    <w:p>
      <w:r>
        <w:t xml:space="preserve">3295 - Pristojbe i naknade izdatak u tekućem razdoblju je manji u odnosu na prethodno obračunsko razdoblje jer ove godine još nismo primili  Rješenje  za plaćanje vodne naknade, a prethodne godine smo do 30. 06. platili dvije rate.</w:t>
      </w:r>
    </w:p>
    <w:p/>
    <w:p>
      <w:pPr>
        <w:jc w:val="center"/>
        <w:pStyle w:val="Normal"/>
        <w:spacing w:line="240" w:lineRule="auto"/>
        <w:keepNext/>
      </w:pPr>
      <w:r>
        <w:rPr>
          <w:sz w:val="28"/>
          <w:rFonts w:ascii="Times New Roman" w:hAnsi="Times New Roman"/>
        </w:rPr>
        <w:t xml:space="preserve">Bilješka 29.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rashodi poslovanja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7.301,94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10.037,81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137,5</w:t>
            </w:r>
          </w:p>
        </w:tc>
      </w:tr>
    </w:tbl>
    <w:p>
      <w:pPr>
        <w:spacing w:before="0" w:after="0"/>
      </w:pPr>
    </w:p>
    <w:p>
      <w:r>
        <w:t xml:space="preserve">3299 - Ostali nespomenuti rashodi poslovanja su veći 37,5% u odnosu na isto razdoblje prethodne godine zbog izdataka vezanih uz 55. obljetnicu škole  koja je obilježena ove godine. Veliki dio  izdataka  iskazan na računu 3299 pokriva se i iz roditeljskih uplata kao što s  ulaznice za kino projekcije, predstave i slično.</w:t>
      </w:r>
    </w:p>
    <w:p/>
    <w:p>
      <w:pPr>
        <w:jc w:val="center"/>
        <w:pStyle w:val="Normal"/>
        <w:spacing w:line="240" w:lineRule="auto"/>
        <w:keepNext/>
      </w:pPr>
      <w:r>
        <w:rPr>
          <w:sz w:val="28"/>
          <w:rFonts w:ascii="Times New Roman" w:hAnsi="Times New Roman"/>
        </w:rPr>
        <w:t xml:space="preserve">Bilješka 30.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Bankarske usluge i usluge platnog prometa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569,55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Zbog ulaska u sustav riznice ove godine nemamo izdatke za platni promet.</w:t>
      </w:r>
    </w:p>
    <w:p/>
    <w:p>
      <w:pPr>
        <w:jc w:val="center"/>
        <w:pStyle w:val="Normal"/>
        <w:spacing w:line="240" w:lineRule="auto"/>
        <w:keepNext/>
      </w:pPr>
      <w:r>
        <w:rPr>
          <w:sz w:val="28"/>
          <w:rFonts w:ascii="Times New Roman" w:hAnsi="Times New Roman"/>
        </w:rPr>
        <w:t xml:space="preserve">Bilješka 31.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građanima i kućanstvima u novcu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2.193,16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2.040,64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93,0</w:t>
            </w:r>
          </w:p>
        </w:tc>
      </w:tr>
    </w:tbl>
    <w:p>
      <w:pPr>
        <w:spacing w:before="0" w:after="0"/>
      </w:pPr>
    </w:p>
    <w:p>
      <w:r>
        <w:t xml:space="preserve">3721 Naknade građanima i kućanstvima u novcu odnosi se na naknade roditeljima za prijevoz učenika s teškoćama i sufinanciranje maturalnog putovanja i  odlazak u Italiju na međunarodno natjecanje iz  Engleskog jezika. U obračunskom razdoblju prethodne godine izdaci su bili veći jer smo imali učenika s teškoćama koji je živi na većoj udaljenosti te je naknada za prijevoz bila znatno veća.</w:t>
      </w:r>
    </w:p>
    <w:p/>
    <w:p>
      <w:pPr>
        <w:jc w:val="center"/>
        <w:pStyle w:val="Normal"/>
        <w:spacing w:line="240" w:lineRule="auto"/>
        <w:keepNext/>
      </w:pPr>
      <w:r>
        <w:rPr>
          <w:sz w:val="28"/>
          <w:rFonts w:ascii="Times New Roman" w:hAnsi="Times New Roman"/>
        </w:rPr>
        <w:t xml:space="preserve">Bilješka 32.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Ukupni rashodi poslovanja (šifre 3-Z003+Z004)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927.980,91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864.669,72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93,2</w:t>
            </w:r>
          </w:p>
        </w:tc>
      </w:tr>
    </w:tbl>
    <w:p>
      <w:pPr>
        <w:spacing w:before="0" w:after="0"/>
      </w:pPr>
    </w:p>
    <w:p>
      <w:r>
        <w:t xml:space="preserve">Ukupni rashodi poslovanja ostvareni su na razini 93,2 % ukupnih rashoda u istom obračunskom razdoblju prethodne godine, a razlog tome je već spomenuto ukidanje računa 19111 te iskazivanje  sedam rashoda za plaću i naknade za prijevoz na rad i s rada u istom razdoblju prethodne godine.</w:t>
      </w:r>
    </w:p>
    <w:p/>
    <w:p>
      <w:pPr>
        <w:jc w:val="center"/>
        <w:pStyle w:val="Normal"/>
        <w:spacing w:line="240" w:lineRule="auto"/>
        <w:keepNext/>
      </w:pPr>
      <w:r>
        <w:rPr>
          <w:sz w:val="28"/>
          <w:rFonts w:ascii="Times New Roman" w:hAnsi="Times New Roman"/>
        </w:rPr>
        <w:t xml:space="preserve">Bilješka 33.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4123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Licence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4123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562,50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Nabavljena je licenca za potrebe školske knjižnice. Prethode godine nismo imali izdatke za licence u  obračunskom razdoblju</w:t>
      </w:r>
    </w:p>
    <w:p/>
    <w:p>
      <w:pPr>
        <w:jc w:val="center"/>
        <w:pStyle w:val="Normal"/>
        <w:spacing w:line="240" w:lineRule="auto"/>
        <w:keepNext/>
      </w:pPr>
      <w:r>
        <w:rPr>
          <w:sz w:val="28"/>
          <w:rFonts w:ascii="Times New Roman" w:hAnsi="Times New Roman"/>
        </w:rPr>
        <w:t xml:space="preserve">Bilješka 34.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Uredska oprema i namještaj</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3.892,96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1946,5</w:t>
            </w:r>
          </w:p>
        </w:tc>
      </w:tr>
    </w:tbl>
    <w:p>
      <w:pPr>
        <w:spacing w:before="0" w:after="0"/>
      </w:pPr>
    </w:p>
    <w:p>
      <w:r>
        <w:t xml:space="preserve">Na računu 4221 iskazan je rashod za računala koja smo dobili donacijom HEP-a. Prihod za ista računala je iskazan na računu 6632.</w:t>
      </w:r>
    </w:p>
    <w:p/>
    <w:p>
      <w:pPr>
        <w:jc w:val="center"/>
        <w:pStyle w:val="Normal"/>
        <w:spacing w:line="240" w:lineRule="auto"/>
        <w:keepNext/>
      </w:pPr>
      <w:r>
        <w:rPr>
          <w:sz w:val="28"/>
          <w:rFonts w:ascii="Times New Roman" w:hAnsi="Times New Roman"/>
        </w:rPr>
        <w:t xml:space="preserve">Bilješka 35.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UKUPAN VIŠAK PRIHODA (šifre X067-Y034)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X004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6.111,78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Ostvareni višak prihoda u obračunskom razdoblju je 6.111,78 eura, ali kad se uzme u obzir preneseni manjak iz 2025. u ukupnom iznosu 106.911,66 eura, u sljedeće  obračunsko razdoblje prenosimo manjak u iznosu od 100.799,88 eura.  Razlog manjka je iskazivanje obračunate plaće za 6. mjesec u rashode obračunskog razdoblja, a prihodi će se iskazati  u trenutku isplate plaće.</w:t>
      </w:r>
    </w:p>
    <w:p/>
    <w:p>
      <w:pPr>
        <w:jc w:val="center"/>
        <w:pStyle w:val="Normal"/>
        <w:spacing w:line="240" w:lineRule="auto"/>
        <w:keepNext/>
      </w:pPr>
      <w:r>
        <w:rPr>
          <w:sz w:val="28"/>
          <w:rFonts w:ascii="Times New Roman" w:hAnsi="Times New Roman"/>
        </w:rPr>
        <w:t xml:space="preserve">Bilješka 36.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proračunskim korisnicima iz proračuna JLP(R)S koji im nije nadležan</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Uplata Međimurske županije za projekt Ruža međimurska i  odlazak na međunarodno natjecnje iz engleskog jezika.</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37.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obveza na kraju izvještajnog razdoblja (šifre V001+V002-V004) i (šifre V007+V009)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126.920,58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Obveze na dan 30. 06. 2026.  obuhvaćaju  obračunate plaće za 6. mjesec 2026. koja će biti isplaćena z 7.mjesecu 2026. i račune za materijalno poslovanje koji se odnose na obračunsku razdoblje, a dospijevaju u 7.mjesecu.</w:t>
      </w:r>
    </w:p>
    <w:p/>
    <w:p>
      <w:pPr>
        <w:jc w:val="center"/>
        <w:pStyle w:val="Normal"/>
        <w:spacing w:line="240" w:lineRule="auto"/>
        <w:keepNext/>
      </w:pPr>
      <w:r>
        <w:rPr>
          <w:sz w:val="28"/>
          <w:rFonts w:ascii="Times New Roman" w:hAnsi="Times New Roman"/>
        </w:rPr>
        <w:t xml:space="preserve">Bilješka 38.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Škola nema dospjelih obaveza na dan 30. 06. 2026.</w:t>
      </w:r>
    </w:p>
    <w:p/>
    <w:p>
      <w:pPr>
        <w:jc w:val="center"/>
        <w:pStyle w:val="Normal"/>
        <w:spacing w:line="240" w:lineRule="auto"/>
        <w:keepNext/>
      </w:pPr>
      <w:r>
        <w:rPr>
          <w:sz w:val="28"/>
          <w:rFonts w:ascii="Times New Roman" w:hAnsi="Times New Roman"/>
        </w:rPr>
        <w:t xml:space="preserve">Bilješka 39.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Međusobne obveze subjekata općeg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2.324,96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Međusobne obveze subjekata opće države odnose se na  isplaćeno bolovanje na teret HZZO-a.</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36488482fd6842f3" /></Relationships>
</file>