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89" w:rsidRDefault="00A37C89" w:rsidP="00A37C89">
      <w:r>
        <w:t>MEĐIMURSKA ŽUPANIJA                                            RAZINA:31</w:t>
      </w:r>
    </w:p>
    <w:p w:rsidR="00A37C89" w:rsidRDefault="00A37C89" w:rsidP="00A37C89">
      <w:r>
        <w:t>RAZDJEL :80                                                                    RKDP:13578</w:t>
      </w:r>
    </w:p>
    <w:p w:rsidR="00A37C89" w:rsidRDefault="00A37C89" w:rsidP="00A37C89">
      <w:r>
        <w:t xml:space="preserve">                                                                                           ŠIFARSKA OZNAKA: 8520</w:t>
      </w:r>
    </w:p>
    <w:p w:rsidR="00A37C89" w:rsidRDefault="00A37C89" w:rsidP="00A37C89">
      <w:r>
        <w:rPr>
          <w:b/>
          <w:bCs/>
        </w:rPr>
        <w:t>III. OSNOVNA ŠKOLA ČAKOVEC</w:t>
      </w:r>
      <w:r>
        <w:t xml:space="preserve">                            ŽIRO RAČUN: </w:t>
      </w:r>
    </w:p>
    <w:p w:rsidR="00A37C89" w:rsidRDefault="00A37C89" w:rsidP="00A37C89">
      <w:r>
        <w:t xml:space="preserve">                                                                                           2340009-1116014887</w:t>
      </w:r>
    </w:p>
    <w:p w:rsidR="00A37C89" w:rsidRDefault="00A37C89" w:rsidP="00A37C89">
      <w:r>
        <w:t xml:space="preserve">IVANA PL. ZAJCA 24                                    </w:t>
      </w:r>
      <w:r w:rsidR="009B322A">
        <w:t xml:space="preserve">                 RAZDOBLJE: 202</w:t>
      </w:r>
      <w:r w:rsidR="00496556">
        <w:t>5-06</w:t>
      </w:r>
    </w:p>
    <w:p w:rsidR="00A37C89" w:rsidRDefault="00A37C89" w:rsidP="00A37C89">
      <w:r>
        <w:t>40000 ČAKOVEC</w:t>
      </w:r>
    </w:p>
    <w:p w:rsidR="00A37C89" w:rsidRDefault="00A37C89" w:rsidP="00A37C89">
      <w:r>
        <w:t>ŽUPANIJA: 20</w:t>
      </w:r>
    </w:p>
    <w:p w:rsidR="00A37C89" w:rsidRDefault="00A37C89" w:rsidP="00A37C89">
      <w:r>
        <w:t>OPĆINA/ GRAD: ČAKOVEC</w:t>
      </w:r>
    </w:p>
    <w:p w:rsidR="00762A13" w:rsidRDefault="00762A13" w:rsidP="00A37C89"/>
    <w:p w:rsidR="00762A13" w:rsidRDefault="00762A13" w:rsidP="00A37C89">
      <w:r>
        <w:t>KLASA: 400-04/25-02/01</w:t>
      </w:r>
    </w:p>
    <w:p w:rsidR="00762A13" w:rsidRDefault="00496556" w:rsidP="00A37C89">
      <w:r>
        <w:t>URBROJ: 2109-94-25-2</w:t>
      </w:r>
    </w:p>
    <w:p w:rsidR="00762A13" w:rsidRDefault="00762A13" w:rsidP="00A37C89"/>
    <w:p w:rsidR="00A37C89" w:rsidRDefault="00A37C89" w:rsidP="00A37C89">
      <w:r>
        <w:t>Čakove</w:t>
      </w:r>
      <w:r w:rsidR="00B04BD6">
        <w:t>c, 17</w:t>
      </w:r>
      <w:r w:rsidR="00330EDC">
        <w:t>.</w:t>
      </w:r>
      <w:r w:rsidR="00496556">
        <w:t>07</w:t>
      </w:r>
      <w:r w:rsidR="003F5705">
        <w:t>.2025</w:t>
      </w:r>
      <w:r>
        <w:t>.</w:t>
      </w:r>
    </w:p>
    <w:p w:rsidR="00A37C89" w:rsidRDefault="00A37C89" w:rsidP="00A37C89"/>
    <w:p w:rsidR="00A37C89" w:rsidRDefault="00A37C89" w:rsidP="00A37C89"/>
    <w:p w:rsidR="00782C3E" w:rsidRDefault="00A37C89" w:rsidP="00A37C89">
      <w:r>
        <w:t xml:space="preserve">                     OBRAZLOŽENJE </w:t>
      </w:r>
      <w:r w:rsidR="00782C3E">
        <w:t>POLUGODIŠNJEG IZVJEŠTAJA O</w:t>
      </w:r>
    </w:p>
    <w:p w:rsidR="00782C3E" w:rsidRDefault="00782C3E" w:rsidP="00A37C89">
      <w:r>
        <w:t xml:space="preserve">                              IZVRŠENJU</w:t>
      </w:r>
      <w:r w:rsidR="00A37C89">
        <w:t xml:space="preserve"> </w:t>
      </w:r>
      <w:r>
        <w:t xml:space="preserve"> </w:t>
      </w:r>
      <w:r w:rsidR="00A37C89">
        <w:t>FINANCIJSKOG PLANA</w:t>
      </w:r>
    </w:p>
    <w:p w:rsidR="00A37C89" w:rsidRDefault="00C04115" w:rsidP="00A37C89">
      <w:r>
        <w:t xml:space="preserve">                    </w:t>
      </w:r>
      <w:bookmarkStart w:id="0" w:name="_GoBack"/>
      <w:bookmarkEnd w:id="0"/>
      <w:r w:rsidR="00A37C89">
        <w:t>III. OSNOVNE</w:t>
      </w:r>
      <w:r w:rsidR="00EE531F">
        <w:t xml:space="preserve"> ŠKOLE</w:t>
      </w:r>
      <w:r w:rsidR="00782C3E">
        <w:t xml:space="preserve"> ČAKOVEC </w:t>
      </w:r>
      <w:r>
        <w:t xml:space="preserve"> ZA 2025. GODINU</w:t>
      </w:r>
    </w:p>
    <w:p w:rsidR="00A37C89" w:rsidRDefault="00A37C89" w:rsidP="00A37C89"/>
    <w:p w:rsidR="00A37C89" w:rsidRDefault="00A37C89" w:rsidP="00A37C89"/>
    <w:p w:rsidR="00A37C89" w:rsidRDefault="00A37C89" w:rsidP="00A37C89">
      <w:r>
        <w:t>III. OSNOVNA  ŠKOLA ČAKOVEC  proračunski je korisnik jedin</w:t>
      </w:r>
      <w:r w:rsidR="00496556">
        <w:t xml:space="preserve">ice lokalne uprave i samouprave odnosno </w:t>
      </w:r>
      <w:r>
        <w:t xml:space="preserve"> Grada Čakovca.</w:t>
      </w:r>
    </w:p>
    <w:p w:rsidR="00A37C89" w:rsidRDefault="00A37C89" w:rsidP="00A37C89"/>
    <w:p w:rsidR="00A37C89" w:rsidRDefault="00A37C89" w:rsidP="00A37C89">
      <w:r>
        <w:t>U skladu s člankom 86., stavkom 3. Zakona o p</w:t>
      </w:r>
      <w:r w:rsidR="00496556">
        <w:t xml:space="preserve">roračunu, Školski odbor usvaja Polugodišnje </w:t>
      </w:r>
      <w:r w:rsidR="00EE531F">
        <w:t xml:space="preserve"> i</w:t>
      </w:r>
      <w:r>
        <w:t>zvješće o izvršenju financijskog pla</w:t>
      </w:r>
      <w:r w:rsidR="00F21F36">
        <w:t>na</w:t>
      </w:r>
      <w:r w:rsidR="00782C3E">
        <w:t xml:space="preserve"> za 2025</w:t>
      </w:r>
      <w:r>
        <w:t>. uključujući i obrazloženje.</w:t>
      </w:r>
    </w:p>
    <w:p w:rsidR="00A37C89" w:rsidRDefault="00A37C89" w:rsidP="00A37C89"/>
    <w:p w:rsidR="00077AC7" w:rsidRPr="00077AC7" w:rsidRDefault="00B102F8" w:rsidP="00077AC7">
      <w:pPr>
        <w:pStyle w:val="Odlomakpopisa"/>
        <w:numPr>
          <w:ilvl w:val="0"/>
          <w:numId w:val="11"/>
        </w:numPr>
        <w:rPr>
          <w:b/>
        </w:rPr>
      </w:pPr>
      <w:r w:rsidRPr="00077AC7">
        <w:rPr>
          <w:b/>
        </w:rPr>
        <w:t>OBRAZLOŽENJE OPĆEG DIJELA</w:t>
      </w:r>
      <w:r w:rsidR="00347AD4">
        <w:rPr>
          <w:b/>
        </w:rPr>
        <w:t xml:space="preserve"> </w:t>
      </w:r>
      <w:r w:rsidR="00077AC7" w:rsidRPr="00077AC7">
        <w:rPr>
          <w:b/>
        </w:rPr>
        <w:t>POLUGODIŠNJGE IZVJEŠTAJ</w:t>
      </w:r>
      <w:r w:rsidR="00F013DA" w:rsidRPr="00077AC7">
        <w:rPr>
          <w:b/>
        </w:rPr>
        <w:t>A</w:t>
      </w:r>
    </w:p>
    <w:p w:rsidR="00BB318A" w:rsidRDefault="00BB318A" w:rsidP="00BB318A">
      <w:pPr>
        <w:ind w:left="1140"/>
        <w:rPr>
          <w:b/>
        </w:rPr>
      </w:pPr>
      <w:r>
        <w:rPr>
          <w:b/>
        </w:rPr>
        <w:t xml:space="preserve">      </w:t>
      </w:r>
      <w:r w:rsidR="00077AC7" w:rsidRPr="00BB318A">
        <w:rPr>
          <w:b/>
        </w:rPr>
        <w:t xml:space="preserve">O </w:t>
      </w:r>
      <w:r w:rsidR="00F013DA" w:rsidRPr="00BB318A">
        <w:rPr>
          <w:b/>
        </w:rPr>
        <w:t xml:space="preserve">IZVRŠENJU  </w:t>
      </w:r>
      <w:r w:rsidR="00A9094E" w:rsidRPr="00BB318A">
        <w:rPr>
          <w:b/>
        </w:rPr>
        <w:t>FINANCIJSKOG PLANA ZA</w:t>
      </w:r>
      <w:r w:rsidRPr="00BB318A">
        <w:rPr>
          <w:b/>
        </w:rPr>
        <w:t xml:space="preserve"> RAZDOBLJE 01.01. DO</w:t>
      </w:r>
    </w:p>
    <w:p w:rsidR="00A37C89" w:rsidRPr="00BB318A" w:rsidRDefault="00BB318A" w:rsidP="00BB318A">
      <w:pPr>
        <w:ind w:left="1140"/>
        <w:rPr>
          <w:b/>
        </w:rPr>
      </w:pPr>
      <w:r>
        <w:rPr>
          <w:b/>
        </w:rPr>
        <w:t xml:space="preserve">                                            </w:t>
      </w:r>
      <w:r w:rsidRPr="00BB318A">
        <w:rPr>
          <w:b/>
        </w:rPr>
        <w:t>30.06.</w:t>
      </w:r>
      <w:r w:rsidR="00A9094E" w:rsidRPr="00BB318A">
        <w:rPr>
          <w:b/>
        </w:rPr>
        <w:t xml:space="preserve"> 2025</w:t>
      </w:r>
      <w:r w:rsidR="00F013DA" w:rsidRPr="00BB318A">
        <w:rPr>
          <w:b/>
        </w:rPr>
        <w:t>. GODINU</w:t>
      </w:r>
    </w:p>
    <w:p w:rsidR="00484AD4" w:rsidRDefault="00484AD4" w:rsidP="00A37C89"/>
    <w:p w:rsidR="009B322A" w:rsidRPr="00D679DE" w:rsidRDefault="00484AD4" w:rsidP="00A37C89">
      <w:r>
        <w:t xml:space="preserve">                           </w:t>
      </w:r>
      <w:r w:rsidR="00F013DA">
        <w:t xml:space="preserve">                  </w:t>
      </w:r>
      <w:r w:rsidR="009B322A">
        <w:br/>
      </w:r>
      <w:r w:rsidR="00077AC7">
        <w:rPr>
          <w:b/>
        </w:rPr>
        <w:t>A) Obrazloženje ostvarenja prihoda i rashoda, primitaka i izdataka</w:t>
      </w:r>
    </w:p>
    <w:p w:rsidR="009B322A" w:rsidRDefault="009B322A" w:rsidP="00A37C89"/>
    <w:p w:rsidR="00965EA4" w:rsidRDefault="009B322A" w:rsidP="00A37C89">
      <w:r>
        <w:t>Iz sažetka ukupnih prihoda i rashoda poslovanja je v</w:t>
      </w:r>
      <w:r w:rsidR="00F013DA">
        <w:t xml:space="preserve">idljivo da je škola ostvarila </w:t>
      </w:r>
      <w:r w:rsidR="008F23B3">
        <w:t xml:space="preserve"> </w:t>
      </w:r>
      <w:r w:rsidR="00782C3E">
        <w:t xml:space="preserve">7 </w:t>
      </w:r>
      <w:r>
        <w:t xml:space="preserve"> % više prihoda</w:t>
      </w:r>
      <w:r w:rsidR="00782C3E">
        <w:t xml:space="preserve"> poslovanja u odnosu na isto razdoblje prethodne godine i 47 %  planiranih prihoda za 2025. godinu.</w:t>
      </w:r>
    </w:p>
    <w:p w:rsidR="00782C3E" w:rsidRDefault="00782C3E" w:rsidP="00A37C89">
      <w:r>
        <w:t xml:space="preserve"> </w:t>
      </w:r>
    </w:p>
    <w:p w:rsidR="00965EA4" w:rsidRDefault="00965EA4" w:rsidP="00965EA4">
      <w:r>
        <w:t>Ukupni prihodi poslovanja iznose 814.507,22  eura, a sastoje se od:</w:t>
      </w:r>
    </w:p>
    <w:p w:rsidR="00965EA4" w:rsidRDefault="00965EA4" w:rsidP="00A37C89"/>
    <w:p w:rsidR="00965EA4" w:rsidRDefault="00965EA4" w:rsidP="00965EA4">
      <w:pPr>
        <w:pStyle w:val="Odlomakpopisa"/>
        <w:numPr>
          <w:ilvl w:val="0"/>
          <w:numId w:val="1"/>
        </w:numPr>
      </w:pPr>
      <w:r w:rsidRPr="000A69B8">
        <w:rPr>
          <w:b/>
        </w:rPr>
        <w:t xml:space="preserve">Podskupina 636 </w:t>
      </w:r>
      <w:r>
        <w:t>- prihodi od pomoći iz državnog proračuna i iznosu 691.928,39 eura što je 11 % više u odnosu na ostvareno prethodne godine te 46 % planiranih prihoda.</w:t>
      </w:r>
    </w:p>
    <w:p w:rsidR="00965EA4" w:rsidRDefault="00965EA4" w:rsidP="00965EA4">
      <w:pPr>
        <w:ind w:left="720"/>
      </w:pPr>
      <w:r>
        <w:t>Prihodi iz državnog proračuna  iznose 85 % ukupno ostvarenih prihoda, a ostvaruju za:</w:t>
      </w:r>
    </w:p>
    <w:p w:rsidR="00965EA4" w:rsidRDefault="00965EA4" w:rsidP="00965EA4">
      <w:pPr>
        <w:ind w:left="720"/>
      </w:pPr>
      <w:r>
        <w:t>- plaće i materijalna prava radnika</w:t>
      </w:r>
    </w:p>
    <w:p w:rsidR="00965EA4" w:rsidRDefault="00965EA4" w:rsidP="00965EA4">
      <w:pPr>
        <w:ind w:left="720"/>
      </w:pPr>
      <w:r>
        <w:t xml:space="preserve">- prehranu učenika </w:t>
      </w:r>
    </w:p>
    <w:p w:rsidR="00674A2B" w:rsidRDefault="00965EA4" w:rsidP="00965EA4">
      <w:pPr>
        <w:ind w:left="720"/>
      </w:pPr>
      <w:r>
        <w:t>-  prijevoz učenika s teškoćama, rad ŽSV,  sufinanciranje terenske nastave za učenike</w:t>
      </w:r>
    </w:p>
    <w:p w:rsidR="00965EA4" w:rsidRDefault="00674A2B" w:rsidP="00965EA4">
      <w:pPr>
        <w:ind w:left="720"/>
      </w:pPr>
      <w:r>
        <w:t xml:space="preserve">  </w:t>
      </w:r>
      <w:r w:rsidR="00965EA4">
        <w:t xml:space="preserve"> </w:t>
      </w:r>
      <w:r>
        <w:t xml:space="preserve"> </w:t>
      </w:r>
      <w:r w:rsidR="00965EA4">
        <w:t>iz Ukrajine</w:t>
      </w:r>
    </w:p>
    <w:p w:rsidR="00965EA4" w:rsidRDefault="00965EA4" w:rsidP="00965EA4">
      <w:pPr>
        <w:pStyle w:val="Odlomakpopisa"/>
        <w:numPr>
          <w:ilvl w:val="0"/>
          <w:numId w:val="1"/>
        </w:numPr>
      </w:pPr>
      <w:r>
        <w:rPr>
          <w:b/>
        </w:rPr>
        <w:lastRenderedPageBreak/>
        <w:t>Podskupina 638</w:t>
      </w:r>
      <w:r>
        <w:t xml:space="preserve"> - iz EU fondova  smo ostvarili</w:t>
      </w:r>
      <w:r w:rsidR="00674A2B">
        <w:t xml:space="preserve"> IZNOS OD 2.761,37 eura odnosno</w:t>
      </w:r>
      <w:r>
        <w:t xml:space="preserve"> 28%   prihoda u odnosu na prethodnu godinu  jer  </w:t>
      </w:r>
      <w:r w:rsidR="00397DB2">
        <w:t>ove godine ne ostvarujemo sredstva za pomoćnike u nastavi.</w:t>
      </w:r>
    </w:p>
    <w:p w:rsidR="00965EA4" w:rsidRDefault="00965EA4" w:rsidP="00965EA4">
      <w:pPr>
        <w:pStyle w:val="Odlomakpopisa"/>
      </w:pPr>
      <w:r>
        <w:t xml:space="preserve">Iz sredstava EU </w:t>
      </w:r>
      <w:r w:rsidR="00397DB2">
        <w:t>su ostvarena</w:t>
      </w:r>
      <w:r w:rsidR="00674A2B">
        <w:t xml:space="preserve"> samo </w:t>
      </w:r>
      <w:r>
        <w:t>sredstva za školsku shemu.</w:t>
      </w:r>
      <w:r w:rsidR="00397DB2">
        <w:t xml:space="preserve"> Ostvareno je 69 % planiranih sredstava</w:t>
      </w:r>
      <w:r>
        <w:t xml:space="preserve"> </w:t>
      </w:r>
      <w:r w:rsidR="00674A2B">
        <w:t xml:space="preserve"> za 2025. godinu</w:t>
      </w:r>
    </w:p>
    <w:p w:rsidR="00965EA4" w:rsidRDefault="00965EA4" w:rsidP="00965EA4"/>
    <w:p w:rsidR="00965EA4" w:rsidRDefault="00965EA4" w:rsidP="00965EA4">
      <w:pPr>
        <w:pStyle w:val="Odlomakpopisa"/>
        <w:numPr>
          <w:ilvl w:val="0"/>
          <w:numId w:val="1"/>
        </w:numPr>
      </w:pPr>
      <w:r>
        <w:rPr>
          <w:b/>
        </w:rPr>
        <w:t>Odjeljak 639</w:t>
      </w:r>
      <w:r>
        <w:t xml:space="preserve"> - prijenosi između  proračunskih korisnika – ostvareni su prihodi od  Grada Čakovca za financiranje  pro</w:t>
      </w:r>
      <w:r w:rsidR="00397DB2">
        <w:t>jekta po pozivu ( razlika iz prethodne godine), za rad Dječjeg  foruma i pre</w:t>
      </w:r>
      <w:r w:rsidR="00674A2B">
        <w:t>inaku brave na ulaznim vratima.</w:t>
      </w:r>
    </w:p>
    <w:p w:rsidR="00965EA4" w:rsidRDefault="00965EA4" w:rsidP="00965EA4">
      <w:pPr>
        <w:pStyle w:val="Odlomakpopisa"/>
      </w:pPr>
    </w:p>
    <w:p w:rsidR="00965EA4" w:rsidRDefault="00965EA4" w:rsidP="00965EA4">
      <w:pPr>
        <w:pStyle w:val="Odlomakpopisa"/>
        <w:numPr>
          <w:ilvl w:val="0"/>
          <w:numId w:val="1"/>
        </w:numPr>
      </w:pPr>
      <w:r w:rsidRPr="000A69B8">
        <w:rPr>
          <w:b/>
        </w:rPr>
        <w:t>Prihodi od imovine, skupina 64</w:t>
      </w:r>
      <w:r>
        <w:t xml:space="preserve"> sastoji se od prihoda  od uplaćenih kamata na depozite po viđenju odnosno na sredstva koja se nalaze na žiro računu škole.</w:t>
      </w:r>
    </w:p>
    <w:p w:rsidR="00965EA4" w:rsidRPr="000A69B8" w:rsidRDefault="00965EA4" w:rsidP="00965EA4">
      <w:pPr>
        <w:pStyle w:val="Odlomakpopisa"/>
        <w:rPr>
          <w:b/>
        </w:rPr>
      </w:pPr>
    </w:p>
    <w:p w:rsidR="00965EA4" w:rsidRDefault="00965EA4" w:rsidP="00DB0A12">
      <w:pPr>
        <w:pStyle w:val="Odlomakpopisa"/>
        <w:numPr>
          <w:ilvl w:val="0"/>
          <w:numId w:val="1"/>
        </w:numPr>
      </w:pPr>
      <w:r w:rsidRPr="00397DB2">
        <w:rPr>
          <w:b/>
        </w:rPr>
        <w:t>Odjeljak 6526</w:t>
      </w:r>
      <w:r>
        <w:t xml:space="preserve"> </w:t>
      </w:r>
      <w:r w:rsidR="00397DB2">
        <w:t>–</w:t>
      </w:r>
      <w:r>
        <w:t xml:space="preserve"> </w:t>
      </w:r>
      <w:r w:rsidR="00397DB2">
        <w:t>Ostali nespomenuti prihodi su</w:t>
      </w:r>
      <w:r>
        <w:t xml:space="preserve"> namje</w:t>
      </w:r>
      <w:r w:rsidR="00397DB2">
        <w:t>nski prihodi koje uplaćuju roditelji učenika, a</w:t>
      </w:r>
      <w:r>
        <w:t xml:space="preserve"> se odnose se na učeničke uplate za terenske nastave, ulaznice za predstave, časopise i sufinanciranje produženog boravka od strane roditel</w:t>
      </w:r>
      <w:r w:rsidR="00397DB2">
        <w:t>ja, fotografiranje učenika</w:t>
      </w:r>
      <w:r>
        <w:t xml:space="preserve"> i slično</w:t>
      </w:r>
      <w:r w:rsidR="00674A2B">
        <w:t xml:space="preserve">. </w:t>
      </w:r>
    </w:p>
    <w:p w:rsidR="00385279" w:rsidRDefault="00385279" w:rsidP="00385279"/>
    <w:p w:rsidR="00965EA4" w:rsidRDefault="00965EA4" w:rsidP="00D80897">
      <w:pPr>
        <w:pStyle w:val="Odlomakpopisa"/>
        <w:numPr>
          <w:ilvl w:val="0"/>
          <w:numId w:val="1"/>
        </w:numPr>
      </w:pPr>
      <w:r w:rsidRPr="00385279">
        <w:rPr>
          <w:b/>
        </w:rPr>
        <w:t xml:space="preserve">Odjeljak 661 </w:t>
      </w:r>
      <w:r>
        <w:t>Vlastiti prihodi su ostvareni od prodaje starog papira, iznajmljivanjem dvorane i uplate</w:t>
      </w:r>
      <w:r w:rsidR="00385279">
        <w:t xml:space="preserve"> radnika za prehranu.</w:t>
      </w:r>
    </w:p>
    <w:p w:rsidR="00385279" w:rsidRDefault="00385279" w:rsidP="00385279"/>
    <w:p w:rsidR="00965EA4" w:rsidRDefault="00965EA4" w:rsidP="00385279">
      <w:pPr>
        <w:pStyle w:val="Odlomakpopisa"/>
        <w:numPr>
          <w:ilvl w:val="0"/>
          <w:numId w:val="1"/>
        </w:numPr>
      </w:pPr>
      <w:r w:rsidRPr="004669C2">
        <w:rPr>
          <w:b/>
        </w:rPr>
        <w:t>Odjeljak 663</w:t>
      </w:r>
      <w:r w:rsidR="00385279">
        <w:t xml:space="preserve"> – iskazani izno</w:t>
      </w:r>
      <w:r w:rsidR="00674A2B">
        <w:t>s se odnosi na pisač</w:t>
      </w:r>
      <w:r w:rsidR="00385279">
        <w:t xml:space="preserve">  </w:t>
      </w:r>
      <w:r w:rsidR="00674A2B">
        <w:t>koje smo dobili putem  nagradne igre Konzuma</w:t>
      </w:r>
      <w:r w:rsidR="00385279">
        <w:t xml:space="preserve"> „Mali veliki talenti“</w:t>
      </w:r>
    </w:p>
    <w:p w:rsidR="00965EA4" w:rsidRDefault="00965EA4" w:rsidP="00965EA4">
      <w:pPr>
        <w:pStyle w:val="Odlomakpopisa"/>
      </w:pPr>
    </w:p>
    <w:p w:rsidR="00965EA4" w:rsidRDefault="00965EA4" w:rsidP="00965EA4">
      <w:pPr>
        <w:pStyle w:val="Odlomakpopisa"/>
        <w:numPr>
          <w:ilvl w:val="0"/>
          <w:numId w:val="1"/>
        </w:numPr>
      </w:pPr>
      <w:r w:rsidRPr="004669C2">
        <w:rPr>
          <w:b/>
        </w:rPr>
        <w:t>Odjeljak 671</w:t>
      </w:r>
      <w:r>
        <w:t xml:space="preserve"> iskazani su prihodi iz nadležnog proračuna odnosno  Grada Čakovca</w:t>
      </w:r>
      <w:r w:rsidR="00385279">
        <w:t>. Prihodi  su 9 % manji</w:t>
      </w:r>
      <w:r>
        <w:t xml:space="preserve"> u odnosu na ostvar</w:t>
      </w:r>
      <w:r w:rsidR="00385279">
        <w:t>ene u istom razdoblju prethodne godine jer nam je Grad prethodne godine uplatio dugovanje za produženi boravak, a ove godine nam svaki mjesec doznačuje sredstva prema našim Zahtjevima.</w:t>
      </w:r>
    </w:p>
    <w:p w:rsidR="00385279" w:rsidRDefault="00385279" w:rsidP="00385279">
      <w:pPr>
        <w:pStyle w:val="Odlomakpopisa"/>
      </w:pPr>
    </w:p>
    <w:p w:rsidR="00385279" w:rsidRPr="00385279" w:rsidRDefault="00385279" w:rsidP="00965EA4">
      <w:pPr>
        <w:pStyle w:val="Odlomakpopisa"/>
        <w:numPr>
          <w:ilvl w:val="0"/>
          <w:numId w:val="1"/>
        </w:numPr>
        <w:rPr>
          <w:b/>
        </w:rPr>
      </w:pPr>
      <w:r w:rsidRPr="00385279">
        <w:rPr>
          <w:b/>
        </w:rPr>
        <w:t xml:space="preserve">Odjeljak 683 </w:t>
      </w:r>
      <w:r>
        <w:rPr>
          <w:b/>
        </w:rPr>
        <w:t xml:space="preserve"> </w:t>
      </w:r>
      <w:r w:rsidR="00856D24">
        <w:rPr>
          <w:b/>
        </w:rPr>
        <w:t>Ostali prihodi –</w:t>
      </w:r>
      <w:r w:rsidR="00856D24">
        <w:t xml:space="preserve"> iskazani su prihodi koje ostvarujemo od  Centra za odgoj i obrazovanje Čakovec za sufinanciranje  potrošnje vode</w:t>
      </w:r>
      <w:r w:rsidR="00674A2B">
        <w:t>.</w:t>
      </w:r>
    </w:p>
    <w:p w:rsidR="00965EA4" w:rsidRDefault="00965EA4" w:rsidP="00965EA4">
      <w:pPr>
        <w:pStyle w:val="Odlomakpopisa"/>
      </w:pPr>
    </w:p>
    <w:p w:rsidR="00965EA4" w:rsidRDefault="00965EA4" w:rsidP="00965EA4">
      <w:pPr>
        <w:pStyle w:val="Odlomakpopisa"/>
      </w:pPr>
    </w:p>
    <w:p w:rsidR="00965EA4" w:rsidRDefault="00965EA4" w:rsidP="00965EA4">
      <w:pPr>
        <w:pStyle w:val="Odlomakpopisa"/>
        <w:numPr>
          <w:ilvl w:val="0"/>
          <w:numId w:val="1"/>
        </w:numPr>
      </w:pPr>
      <w:r w:rsidRPr="004669C2">
        <w:rPr>
          <w:b/>
        </w:rPr>
        <w:t>Razred 7</w:t>
      </w:r>
      <w:r>
        <w:t xml:space="preserve"> - Prihodi od prodaje proizvedene dugotrajne imovine</w:t>
      </w:r>
      <w:r w:rsidR="00856D24">
        <w:t xml:space="preserve"> nisu ostvareni. Planirali smo prihode u iznosu od 100,00 eura jer je takva bila dinamika uplate za stanove. Međutim nakon donošenja financijskog plana za 2025. godinu</w:t>
      </w:r>
      <w:r w:rsidR="00674A2B">
        <w:t>, krajem 2024. godine</w:t>
      </w:r>
      <w:r w:rsidR="00856D24">
        <w:t xml:space="preserve"> izvršena je  uplata te su podmirena su sva dugovanja za stanove.</w:t>
      </w:r>
    </w:p>
    <w:p w:rsidR="00965EA4" w:rsidRDefault="00965EA4" w:rsidP="00965EA4"/>
    <w:p w:rsidR="00965EA4" w:rsidRDefault="00965EA4" w:rsidP="00965EA4">
      <w:r>
        <w:t xml:space="preserve">Rashodi poslovanja  su ostvareni </w:t>
      </w:r>
      <w:r w:rsidR="00856D24">
        <w:t>53 % u odnosu na planirane i 25</w:t>
      </w:r>
      <w:r>
        <w:t xml:space="preserve"> % su već u odnosu na prethodnu godinu</w:t>
      </w:r>
      <w:r w:rsidR="00856D24">
        <w:t xml:space="preserve">. Razlog povećanja je </w:t>
      </w:r>
      <w:r>
        <w:t xml:space="preserve"> rast plaća i povećanja cijena na tržištu zbog inflacije.</w:t>
      </w:r>
    </w:p>
    <w:p w:rsidR="008B62F1" w:rsidRDefault="008B62F1" w:rsidP="00965EA4"/>
    <w:p w:rsidR="00856D24" w:rsidRDefault="00965EA4" w:rsidP="00965EA4">
      <w:pPr>
        <w:pStyle w:val="Odlomakpopisa"/>
        <w:numPr>
          <w:ilvl w:val="0"/>
          <w:numId w:val="9"/>
        </w:numPr>
      </w:pPr>
      <w:r w:rsidRPr="002E390B">
        <w:rPr>
          <w:b/>
        </w:rPr>
        <w:t>Podskupina 31</w:t>
      </w:r>
      <w:r>
        <w:rPr>
          <w:b/>
        </w:rPr>
        <w:t xml:space="preserve"> – </w:t>
      </w:r>
      <w:r w:rsidRPr="002E390B">
        <w:t xml:space="preserve">rashodi za zaposlene </w:t>
      </w:r>
      <w:r w:rsidR="00856D24">
        <w:t>iznose 806</w:t>
      </w:r>
      <w:r w:rsidR="006C32A8">
        <w:t>.</w:t>
      </w:r>
      <w:r w:rsidR="00856D24">
        <w:t>354,04</w:t>
      </w:r>
      <w:r>
        <w:t xml:space="preserve"> eura, 27 %</w:t>
      </w:r>
      <w:r w:rsidRPr="002E390B">
        <w:t xml:space="preserve"> su veći u odnosu na pret</w:t>
      </w:r>
      <w:r w:rsidR="00856D24">
        <w:t>hodnu godinu, a ostvareno je  55</w:t>
      </w:r>
      <w:r w:rsidRPr="002E390B">
        <w:t xml:space="preserve"> % planiranih rashoda.</w:t>
      </w:r>
      <w:r>
        <w:t xml:space="preserve"> Do povećanja je</w:t>
      </w:r>
      <w:r w:rsidR="00856D24">
        <w:t xml:space="preserve"> došlo zbog rasta plaća od 01. 2. 2025. i iskazivanja 7. plaće u rashode odnosno obračunate  plaće za 6. mjesec koja se u prethodnim go</w:t>
      </w:r>
      <w:r w:rsidR="006C32A8">
        <w:t>dinama iskazivala na kontinuira</w:t>
      </w:r>
      <w:r w:rsidR="00856D24">
        <w:t xml:space="preserve">nim rashodima </w:t>
      </w:r>
    </w:p>
    <w:p w:rsidR="00965EA4" w:rsidRDefault="00965EA4" w:rsidP="006C32A8">
      <w:pPr>
        <w:pStyle w:val="Odlomakpopisa"/>
      </w:pPr>
      <w:r>
        <w:t>U i</w:t>
      </w:r>
      <w:r w:rsidR="006C32A8">
        <w:t>znosu od 806.354,04</w:t>
      </w:r>
      <w:r>
        <w:t xml:space="preserve"> eura sadržane su redovne p</w:t>
      </w:r>
      <w:r w:rsidR="006C32A8">
        <w:t>laće, plaće za prekovremeni rad</w:t>
      </w:r>
      <w:r>
        <w:t>, posebne uvjete, ostale rashode za zaposlene (materijalna prava radnika u skladu s kolektivnim ugovorom) i doprinos za zdravstveno osiguranje koji se obračunava  16,5% na bruto plaće.</w:t>
      </w:r>
    </w:p>
    <w:p w:rsidR="006C32A8" w:rsidRDefault="006C32A8" w:rsidP="006C32A8">
      <w:pPr>
        <w:pStyle w:val="Odlomakpopisa"/>
      </w:pPr>
      <w:r>
        <w:lastRenderedPageBreak/>
        <w:t>Udio rashoda za zaposlene u ukupnim rashodima poslovanja je 86,9 %.</w:t>
      </w:r>
    </w:p>
    <w:p w:rsidR="00226BA7" w:rsidRDefault="00226BA7" w:rsidP="006C32A8">
      <w:pPr>
        <w:pStyle w:val="Odlomakpopisa"/>
      </w:pPr>
    </w:p>
    <w:p w:rsidR="00226BA7" w:rsidRDefault="00226BA7" w:rsidP="006C32A8">
      <w:pPr>
        <w:pStyle w:val="Odlomakpopisa"/>
      </w:pPr>
    </w:p>
    <w:p w:rsidR="00965EA4" w:rsidRDefault="00965EA4" w:rsidP="00965EA4">
      <w:pPr>
        <w:pStyle w:val="Odlomakpopisa"/>
        <w:numPr>
          <w:ilvl w:val="0"/>
          <w:numId w:val="9"/>
        </w:numPr>
      </w:pPr>
      <w:r>
        <w:rPr>
          <w:b/>
        </w:rPr>
        <w:t>Podskupina 32 –</w:t>
      </w:r>
      <w:r>
        <w:t xml:space="preserve"> materijalni rashodi sastoje se od:</w:t>
      </w:r>
    </w:p>
    <w:p w:rsidR="00965EA4" w:rsidRDefault="00965EA4" w:rsidP="00965EA4">
      <w:pPr>
        <w:pStyle w:val="Odlomakpopisa"/>
      </w:pPr>
      <w:r>
        <w:rPr>
          <w:b/>
        </w:rPr>
        <w:t>-</w:t>
      </w:r>
      <w:r>
        <w:t xml:space="preserve"> naknade troškova zaposlenima za službena putovanja, naknada za  prijevoz na rad i s rada, naknada za stručno usavršavanje i ostale naknade troškova zaposlenima (naknada za korištenje privatno</w:t>
      </w:r>
      <w:r w:rsidR="006C32A8">
        <w:t>g automobila u službene svrhe).</w:t>
      </w:r>
    </w:p>
    <w:p w:rsidR="00965EA4" w:rsidRDefault="00965EA4" w:rsidP="00965EA4">
      <w:pPr>
        <w:pStyle w:val="Odlomakpopisa"/>
      </w:pPr>
      <w:r>
        <w:rPr>
          <w:b/>
        </w:rPr>
        <w:t xml:space="preserve">- </w:t>
      </w:r>
      <w:r>
        <w:t>rashodi za materijal i</w:t>
      </w:r>
      <w:r w:rsidR="006C32A8">
        <w:t xml:space="preserve"> energiju  u odnosu na 2024. su veći  9</w:t>
      </w:r>
      <w:r>
        <w:t>% što je rezultat povećanja cijena i nekih potreba škole.</w:t>
      </w:r>
    </w:p>
    <w:p w:rsidR="00877885" w:rsidRDefault="00877885" w:rsidP="00965EA4">
      <w:pPr>
        <w:pStyle w:val="Odlomakpopisa"/>
      </w:pPr>
    </w:p>
    <w:p w:rsidR="00965EA4" w:rsidRDefault="00965EA4" w:rsidP="00965EA4">
      <w:pPr>
        <w:pStyle w:val="Odlomakpopisa"/>
      </w:pPr>
      <w:r>
        <w:rPr>
          <w:b/>
        </w:rPr>
        <w:t xml:space="preserve">- </w:t>
      </w:r>
      <w:r>
        <w:t xml:space="preserve">rashodi za </w:t>
      </w:r>
      <w:r w:rsidR="006C32A8">
        <w:t xml:space="preserve">usluge su  veći u odnosu na prethodnu godine za 48 % zbog  troškova prilagođavanja brave na ulaznim vratima </w:t>
      </w:r>
      <w:r w:rsidR="00323822">
        <w:t>iz sigurnosnih razloga</w:t>
      </w:r>
      <w:r w:rsidR="008B62F1">
        <w:t xml:space="preserve"> t provođenja postupka javne nabave za namirnice za školsku kuhinju</w:t>
      </w:r>
    </w:p>
    <w:p w:rsidR="00877885" w:rsidRDefault="00877885" w:rsidP="00965EA4">
      <w:pPr>
        <w:pStyle w:val="Odlomakpopisa"/>
      </w:pPr>
    </w:p>
    <w:p w:rsidR="00323822" w:rsidRDefault="00323822" w:rsidP="00965EA4">
      <w:pPr>
        <w:pStyle w:val="Odlomakpopisa"/>
      </w:pPr>
      <w:r>
        <w:rPr>
          <w:b/>
        </w:rPr>
        <w:t>-</w:t>
      </w:r>
      <w:r>
        <w:t xml:space="preserve"> rashodi za komunalne usluge su veći za 86 %  u odnosu na isto razdoblje prethodne godine zbog poskupljenja  naknade za postupanje otpadom, poskupljenja vreća za razvrstavanje otpada i iskazivanje troška vode u ukupnom iznosu  na računu 3234, a prethodne godine smo  30% rashoda za vodu iskazivali na računu 12911.</w:t>
      </w:r>
    </w:p>
    <w:p w:rsidR="00323822" w:rsidRDefault="00323822" w:rsidP="00965EA4">
      <w:pPr>
        <w:pStyle w:val="Odlomakpopisa"/>
      </w:pPr>
      <w:r w:rsidRPr="00323822">
        <w:t>Početkom godine smo imali puknuće cijevi</w:t>
      </w:r>
      <w:r>
        <w:t xml:space="preserve"> </w:t>
      </w:r>
      <w:r w:rsidR="00877885">
        <w:t>za vodu pa je iz tog razloga došlo do većih za opskrbu vodom.</w:t>
      </w:r>
    </w:p>
    <w:p w:rsidR="00877885" w:rsidRDefault="00877885" w:rsidP="00965EA4">
      <w:pPr>
        <w:pStyle w:val="Odlomakpopisa"/>
      </w:pPr>
    </w:p>
    <w:p w:rsidR="00965EA4" w:rsidRDefault="00877885" w:rsidP="00877885">
      <w:pPr>
        <w:pStyle w:val="Odlomakpopisa"/>
        <w:numPr>
          <w:ilvl w:val="0"/>
          <w:numId w:val="10"/>
        </w:numPr>
      </w:pPr>
      <w:r>
        <w:t>intelektualne usluge su 65 % veće u odnosu na prethodnu godinu   zbog provođenja postupka javne nabave namirnica za školsku kuhinju za koji smo morali angažirati ovlaštenu osobu s certifikatom.</w:t>
      </w:r>
    </w:p>
    <w:p w:rsidR="00877885" w:rsidRDefault="00877885" w:rsidP="00877885">
      <w:pPr>
        <w:pStyle w:val="Odlomakpopisa"/>
        <w:ind w:left="1080"/>
      </w:pPr>
    </w:p>
    <w:p w:rsidR="00965EA4" w:rsidRDefault="00965EA4" w:rsidP="00965EA4">
      <w:pPr>
        <w:pStyle w:val="Odlomakpopisa"/>
        <w:numPr>
          <w:ilvl w:val="0"/>
          <w:numId w:val="10"/>
        </w:numPr>
      </w:pPr>
      <w:r>
        <w:t>Ostali  nespomenuti rashodi poslovanja</w:t>
      </w:r>
      <w:r w:rsidR="00877885">
        <w:t xml:space="preserve"> su veći od ostvarenih u istom razdoblju prethodne godine i to na računu 3295 – pristojbe i naknade  jer prethodne godine nismo bili u obvezi plaćati naknadu zbog nezapošljavanja osobe s invaliditetom </w:t>
      </w:r>
    </w:p>
    <w:p w:rsidR="00877885" w:rsidRDefault="00877885" w:rsidP="00965EA4">
      <w:pPr>
        <w:pStyle w:val="Odlomakpopisa"/>
        <w:numPr>
          <w:ilvl w:val="0"/>
          <w:numId w:val="10"/>
        </w:numPr>
      </w:pPr>
    </w:p>
    <w:p w:rsidR="00965EA4" w:rsidRDefault="00965EA4" w:rsidP="00965EA4">
      <w:pPr>
        <w:pStyle w:val="Odlomakpopisa"/>
        <w:numPr>
          <w:ilvl w:val="0"/>
          <w:numId w:val="9"/>
        </w:numPr>
      </w:pPr>
      <w:r>
        <w:rPr>
          <w:b/>
        </w:rPr>
        <w:t xml:space="preserve">Skupina 34 - </w:t>
      </w:r>
      <w:r w:rsidRPr="00D01126">
        <w:t>Financ</w:t>
      </w:r>
      <w:r>
        <w:t>ijsk</w:t>
      </w:r>
      <w:r w:rsidR="00226BA7">
        <w:t>i rashodi  odnose se na naknadu</w:t>
      </w:r>
      <w:r>
        <w:t xml:space="preserve"> za platni prom</w:t>
      </w:r>
      <w:r w:rsidR="00877885">
        <w:t xml:space="preserve">et </w:t>
      </w:r>
    </w:p>
    <w:p w:rsidR="00877885" w:rsidRDefault="00877885" w:rsidP="00226BA7">
      <w:pPr>
        <w:pStyle w:val="Odlomakpopisa"/>
      </w:pPr>
    </w:p>
    <w:p w:rsidR="00965EA4" w:rsidRDefault="00965EA4" w:rsidP="00965EA4">
      <w:pPr>
        <w:pStyle w:val="Odlomakpopisa"/>
        <w:numPr>
          <w:ilvl w:val="0"/>
          <w:numId w:val="9"/>
        </w:numPr>
      </w:pPr>
      <w:r>
        <w:rPr>
          <w:b/>
        </w:rPr>
        <w:t>Skupina 37 –</w:t>
      </w:r>
      <w:r>
        <w:t xml:space="preserve"> naknade građanima i kućanstvima – iskazani su izdaci na prijevo</w:t>
      </w:r>
      <w:r w:rsidR="00877885">
        <w:t>z učenika s teškoćama</w:t>
      </w:r>
    </w:p>
    <w:p w:rsidR="00965EA4" w:rsidRDefault="00965EA4" w:rsidP="009F79D9">
      <w:pPr>
        <w:ind w:left="360"/>
      </w:pPr>
    </w:p>
    <w:p w:rsidR="00965EA4" w:rsidRDefault="00965EA4" w:rsidP="009F79D9">
      <w:pPr>
        <w:pStyle w:val="Odlomakpopisa"/>
        <w:numPr>
          <w:ilvl w:val="0"/>
          <w:numId w:val="9"/>
        </w:numPr>
      </w:pPr>
      <w:r>
        <w:rPr>
          <w:b/>
        </w:rPr>
        <w:t>Razred 4 –</w:t>
      </w:r>
      <w:r w:rsidR="009F79D9">
        <w:t xml:space="preserve"> skupina 42- Rashod za nabavu nefinancijske imovine – iskazani su troškovi nabave  nastavnog pomagala putem donacije i nabave hladnjak za školsku kuhinju. </w:t>
      </w:r>
    </w:p>
    <w:p w:rsidR="009F79D9" w:rsidRDefault="009F79D9" w:rsidP="009F79D9">
      <w:pPr>
        <w:ind w:left="720"/>
      </w:pPr>
      <w:r>
        <w:t>Iznos  rashoda je manji u odnosu na prethodnu godinu jer nismo imali financijskih sredstava za nabavu opreme.</w:t>
      </w:r>
    </w:p>
    <w:p w:rsidR="00BE787D" w:rsidRDefault="00BE787D" w:rsidP="009F79D9">
      <w:pPr>
        <w:ind w:left="720"/>
      </w:pPr>
    </w:p>
    <w:p w:rsidR="00BE787D" w:rsidRDefault="00BE787D" w:rsidP="00BE787D">
      <w:r>
        <w:t xml:space="preserve">Rashodi poslovanja iznose 927.980,91, a rashodi za nabavu nefinancijske imovine iznose 1.897,50 eura. Ukupni rashodi iznose 929.878,41 eura. Ukupni prihodi  iznose 814.507,22 eura. Škola je u ovom  izvještajnom razdoblju ostvarila manjak prihoda od 115.371,19 eura. </w:t>
      </w:r>
    </w:p>
    <w:p w:rsidR="00BE787D" w:rsidRDefault="00BE787D" w:rsidP="00BE787D">
      <w:r>
        <w:t>Kad uključimo  preneseni višak  iz 2024. u ukupnom iznosu  od 4.769,84 eura manjak na dan 30. 06. 2025 iznosi  110.601,35 eura. Do iskazivanja manjka je došli  zbog  uključivanja plaće za  lipanj 2024. u  obračunsko razdoblje do 30. 06.2025.</w:t>
      </w:r>
      <w:r w:rsidR="00A14698">
        <w:t>, a prihode za plaću nismo ostvarili. To je takozvani metodološki manjak jer se rashodi obračunavaju u trenutku nastanka obveze , a prihodi u trenutku naplate odnosno raspoloživosti.</w:t>
      </w:r>
    </w:p>
    <w:p w:rsidR="00A14698" w:rsidRDefault="00A14698" w:rsidP="00BE787D">
      <w:r>
        <w:t>Obračunati rashodi za plaće za 06/2025. iznose 112.486,02 što  ukazuje da bi Škola ostvarila višak prihoda u iznosu od 1.884,67 eura.</w:t>
      </w:r>
    </w:p>
    <w:p w:rsidR="00BE787D" w:rsidRDefault="00BE787D" w:rsidP="00BE787D"/>
    <w:p w:rsidR="00BE787D" w:rsidRDefault="00BE787D" w:rsidP="00BE787D"/>
    <w:p w:rsidR="00BE787D" w:rsidRDefault="00BE787D" w:rsidP="00BE787D"/>
    <w:p w:rsidR="00973CF2" w:rsidRDefault="00945AFA" w:rsidP="00A37C89">
      <w:r>
        <w:t>Na dan 01.01.2025</w:t>
      </w:r>
      <w:r w:rsidR="00E83169">
        <w:t xml:space="preserve">. prenesen je </w:t>
      </w:r>
      <w:r>
        <w:t>višak prihoda poslovanja iz 2024</w:t>
      </w:r>
      <w:r w:rsidR="00E83169">
        <w:t xml:space="preserve">. godine u iznosu </w:t>
      </w:r>
      <w:r>
        <w:t>18.799,55</w:t>
      </w:r>
      <w:r w:rsidR="00E83169">
        <w:t xml:space="preserve">  eura te</w:t>
      </w:r>
      <w:r w:rsidR="009528F4">
        <w:t xml:space="preserve"> </w:t>
      </w:r>
      <w:r w:rsidR="00E83169">
        <w:t>manjak prihoda od</w:t>
      </w:r>
      <w:r w:rsidR="009528F4">
        <w:t xml:space="preserve"> </w:t>
      </w:r>
      <w:r w:rsidR="00E83169">
        <w:t>nefinancijske imovine</w:t>
      </w:r>
      <w:r>
        <w:t xml:space="preserve"> u iznosu od 14.029,71</w:t>
      </w:r>
      <w:r w:rsidR="009528F4">
        <w:t xml:space="preserve"> eura. Odlukom Školskog odbora o rasp</w:t>
      </w:r>
      <w:r>
        <w:t>odjeli rezultata Klasa:400-04/25-02/01, URBROJ:2109-94-25</w:t>
      </w:r>
      <w:r w:rsidR="009528F4">
        <w:t>-3 pokriven je manjak prihoda od nefinancijske imovine.  Preostali višak prihoda p</w:t>
      </w:r>
      <w:r>
        <w:t>oslovanja u iznosu od 4.769,84</w:t>
      </w:r>
      <w:r w:rsidR="009528F4">
        <w:t xml:space="preserve"> raspoređen je prema izvorima financi</w:t>
      </w:r>
      <w:r>
        <w:t>ranja i namjeni:</w:t>
      </w:r>
    </w:p>
    <w:p w:rsidR="00BE787D" w:rsidRDefault="00BE787D" w:rsidP="00A37C89"/>
    <w:p w:rsidR="00B007A8" w:rsidRDefault="007A11BD" w:rsidP="00B007A8">
      <w:pPr>
        <w:pStyle w:val="Odlomakpopisa"/>
        <w:numPr>
          <w:ilvl w:val="0"/>
          <w:numId w:val="4"/>
        </w:numPr>
      </w:pPr>
      <w:r>
        <w:t>31 – vlastiti izvori</w:t>
      </w:r>
      <w:r w:rsidR="00945AFA">
        <w:t xml:space="preserve"> 278,62</w:t>
      </w:r>
      <w:r w:rsidR="00B007A8">
        <w:t xml:space="preserve"> eura</w:t>
      </w:r>
    </w:p>
    <w:p w:rsidR="00B007A8" w:rsidRDefault="00945AFA" w:rsidP="007A11BD">
      <w:pPr>
        <w:pStyle w:val="Odlomakpopisa"/>
        <w:numPr>
          <w:ilvl w:val="0"/>
          <w:numId w:val="4"/>
        </w:numPr>
      </w:pPr>
      <w:r>
        <w:t>43 – namjenski prihodi  1.338,29</w:t>
      </w:r>
      <w:r w:rsidR="00B007A8">
        <w:t xml:space="preserve"> eura</w:t>
      </w:r>
    </w:p>
    <w:p w:rsidR="00B007A8" w:rsidRDefault="00945AFA" w:rsidP="007A11BD">
      <w:pPr>
        <w:pStyle w:val="Odlomakpopisa"/>
        <w:numPr>
          <w:ilvl w:val="0"/>
          <w:numId w:val="4"/>
        </w:numPr>
      </w:pPr>
      <w:r>
        <w:t xml:space="preserve">51 – EU sredstva 381,69 </w:t>
      </w:r>
      <w:r w:rsidR="00B007A8">
        <w:t>eura</w:t>
      </w:r>
    </w:p>
    <w:p w:rsidR="00B007A8" w:rsidRDefault="00945AFA" w:rsidP="007A11BD">
      <w:pPr>
        <w:pStyle w:val="Odlomakpopisa"/>
        <w:numPr>
          <w:ilvl w:val="0"/>
          <w:numId w:val="4"/>
        </w:numPr>
      </w:pPr>
      <w:r>
        <w:t>52 – državni proračun 1.843,18</w:t>
      </w:r>
      <w:r w:rsidR="00B007A8">
        <w:t xml:space="preserve"> eura</w:t>
      </w:r>
    </w:p>
    <w:p w:rsidR="00B007A8" w:rsidRDefault="00945AFA" w:rsidP="007A11BD">
      <w:pPr>
        <w:pStyle w:val="Odlomakpopisa"/>
        <w:numPr>
          <w:ilvl w:val="0"/>
          <w:numId w:val="4"/>
        </w:numPr>
      </w:pPr>
      <w:r>
        <w:t>61 – donacija 928,06</w:t>
      </w:r>
      <w:r w:rsidR="00B007A8">
        <w:t xml:space="preserve"> eura</w:t>
      </w:r>
    </w:p>
    <w:p w:rsidR="00760088" w:rsidRDefault="00760088" w:rsidP="00A37C89">
      <w:r>
        <w:t xml:space="preserve">       </w:t>
      </w:r>
    </w:p>
    <w:p w:rsidR="008C7218" w:rsidRDefault="008C7218" w:rsidP="00484AD4"/>
    <w:p w:rsidR="00940711" w:rsidRDefault="00940711" w:rsidP="00484AD4">
      <w:pPr>
        <w:pStyle w:val="Odlomakpopisa"/>
        <w:numPr>
          <w:ilvl w:val="0"/>
          <w:numId w:val="13"/>
        </w:numPr>
        <w:rPr>
          <w:b/>
        </w:rPr>
      </w:pPr>
      <w:r w:rsidRPr="00B9186F">
        <w:rPr>
          <w:b/>
        </w:rPr>
        <w:t>Obrazloženje posebnog dijela polugodišnjeg</w:t>
      </w:r>
      <w:r w:rsidR="008C7218" w:rsidRPr="00B9186F">
        <w:rPr>
          <w:b/>
        </w:rPr>
        <w:t xml:space="preserve"> </w:t>
      </w:r>
      <w:r w:rsidRPr="00B9186F">
        <w:rPr>
          <w:b/>
        </w:rPr>
        <w:t>izvješća o</w:t>
      </w:r>
      <w:r w:rsidR="008C7218" w:rsidRPr="00940711">
        <w:rPr>
          <w:b/>
        </w:rPr>
        <w:t xml:space="preserve"> </w:t>
      </w:r>
      <w:r w:rsidR="00B9186F" w:rsidRPr="00940711">
        <w:rPr>
          <w:b/>
        </w:rPr>
        <w:t xml:space="preserve"> </w:t>
      </w:r>
      <w:r w:rsidRPr="00940711">
        <w:rPr>
          <w:b/>
        </w:rPr>
        <w:t>izvršenju financijskog plana za 2025</w:t>
      </w:r>
      <w:r w:rsidR="008C7218" w:rsidRPr="00940711">
        <w:rPr>
          <w:b/>
        </w:rPr>
        <w:t xml:space="preserve">. </w:t>
      </w:r>
      <w:r w:rsidRPr="00940711">
        <w:rPr>
          <w:b/>
        </w:rPr>
        <w:t>godinu</w:t>
      </w:r>
    </w:p>
    <w:p w:rsidR="00940711" w:rsidRDefault="00940711" w:rsidP="00940711">
      <w:pPr>
        <w:pStyle w:val="Odlomakpopisa"/>
        <w:rPr>
          <w:b/>
        </w:rPr>
      </w:pPr>
    </w:p>
    <w:p w:rsidR="00484AD4" w:rsidRPr="00940711" w:rsidRDefault="00484AD4" w:rsidP="00940711">
      <w:pPr>
        <w:rPr>
          <w:b/>
        </w:rPr>
      </w:pPr>
      <w:r>
        <w:t>Posebni dio izvješća o izvrš</w:t>
      </w:r>
      <w:r w:rsidR="00347AD4">
        <w:t>enju financijskog plana  za 2025</w:t>
      </w:r>
      <w:r w:rsidR="00F5373F">
        <w:t xml:space="preserve">. godinu  sadrži  </w:t>
      </w:r>
      <w:r>
        <w:t xml:space="preserve"> ras</w:t>
      </w:r>
      <w:r w:rsidR="008F6EA0">
        <w:t>hode razvrstane po izvorima, ekonomskoj klasifikaciji, akt</w:t>
      </w:r>
      <w:r>
        <w:t>ivnostima,</w:t>
      </w:r>
      <w:r w:rsidR="008F6EA0">
        <w:t xml:space="preserve"> </w:t>
      </w:r>
      <w:r>
        <w:t>programima i funkciji</w:t>
      </w:r>
      <w:r w:rsidR="008F6EA0">
        <w:t>.</w:t>
      </w:r>
    </w:p>
    <w:p w:rsidR="008F6EA0" w:rsidRDefault="008F6EA0" w:rsidP="00484AD4"/>
    <w:p w:rsidR="00484AD4" w:rsidRDefault="008F6EA0" w:rsidP="00484AD4">
      <w:r>
        <w:t>Prihodi i izdaci su raspoređeni  kroz sljedeće</w:t>
      </w:r>
      <w:r w:rsidR="00D21FB0">
        <w:t xml:space="preserve"> programe i</w:t>
      </w:r>
      <w:r>
        <w:t xml:space="preserve"> aktivnosti:</w:t>
      </w:r>
    </w:p>
    <w:p w:rsidR="00D21FB0" w:rsidRDefault="00D21FB0" w:rsidP="00484AD4"/>
    <w:p w:rsidR="00D21FB0" w:rsidRPr="00D21FB0" w:rsidRDefault="00D21FB0" w:rsidP="00484AD4">
      <w:pPr>
        <w:rPr>
          <w:b/>
        </w:rPr>
      </w:pPr>
      <w:r w:rsidRPr="00D21FB0">
        <w:rPr>
          <w:b/>
        </w:rPr>
        <w:t>Program 1024- decentraliziran funkcije</w:t>
      </w:r>
      <w:r>
        <w:rPr>
          <w:b/>
        </w:rPr>
        <w:t xml:space="preserve"> -</w:t>
      </w:r>
      <w:r w:rsidRPr="00D21FB0">
        <w:rPr>
          <w:b/>
        </w:rPr>
        <w:t xml:space="preserve"> osnovno školstvo</w:t>
      </w:r>
    </w:p>
    <w:p w:rsidR="008F6EA0" w:rsidRPr="00D21FB0" w:rsidRDefault="008F6EA0" w:rsidP="00484AD4">
      <w:pPr>
        <w:rPr>
          <w:b/>
        </w:rPr>
      </w:pPr>
    </w:p>
    <w:p w:rsidR="00571180" w:rsidRDefault="00D21FB0" w:rsidP="00484AD4">
      <w:pPr>
        <w:rPr>
          <w:b/>
        </w:rPr>
      </w:pPr>
      <w:r>
        <w:rPr>
          <w:b/>
        </w:rPr>
        <w:t xml:space="preserve">Aktivnost </w:t>
      </w:r>
      <w:r w:rsidR="008F6EA0" w:rsidRPr="00A86ECA">
        <w:rPr>
          <w:b/>
        </w:rPr>
        <w:t>A102401 – materijalni i financijski rashodi</w:t>
      </w:r>
    </w:p>
    <w:p w:rsidR="00571180" w:rsidRDefault="00571180" w:rsidP="00484AD4">
      <w:pPr>
        <w:rPr>
          <w:b/>
        </w:rPr>
      </w:pPr>
    </w:p>
    <w:p w:rsidR="00571180" w:rsidRDefault="00571180" w:rsidP="00484AD4">
      <w:r>
        <w:rPr>
          <w:b/>
        </w:rPr>
        <w:t xml:space="preserve">Cilj programa: </w:t>
      </w:r>
      <w:r>
        <w:t>Kvalitetno i suvremeno obrazovanje (PC 4), Mjera 4.2 Osiguranje odgovarajućih ljudskih i mat</w:t>
      </w:r>
      <w:r w:rsidR="00347AD4">
        <w:t>erijalnih kapaciteta za predškolsk</w:t>
      </w:r>
      <w:r>
        <w:t>e i školske ustanove</w:t>
      </w:r>
    </w:p>
    <w:p w:rsidR="00B94048" w:rsidRDefault="00B94048" w:rsidP="00484A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626"/>
        <w:gridCol w:w="1722"/>
        <w:gridCol w:w="1722"/>
        <w:gridCol w:w="2019"/>
      </w:tblGrid>
      <w:tr w:rsidR="00C3678B" w:rsidRPr="001E1354" w:rsidTr="00F27A60">
        <w:trPr>
          <w:trHeight w:val="262"/>
        </w:trPr>
        <w:tc>
          <w:tcPr>
            <w:tcW w:w="2370" w:type="dxa"/>
            <w:shd w:val="clear" w:color="auto" w:fill="auto"/>
          </w:tcPr>
          <w:p w:rsidR="00C3678B" w:rsidRPr="001E1354" w:rsidRDefault="00C3678B" w:rsidP="00F27A60">
            <w:pPr>
              <w:rPr>
                <w:rFonts w:ascii="Calibri" w:hAnsi="Calibri" w:cs="Calibri"/>
                <w:sz w:val="22"/>
                <w:szCs w:val="22"/>
              </w:rPr>
            </w:pPr>
            <w:r w:rsidRPr="001E1354">
              <w:rPr>
                <w:rFonts w:ascii="Calibri" w:hAnsi="Calibri" w:cs="Calibri"/>
                <w:sz w:val="22"/>
                <w:szCs w:val="22"/>
              </w:rPr>
              <w:t>Pokazatelj rezultata</w:t>
            </w:r>
          </w:p>
        </w:tc>
        <w:tc>
          <w:tcPr>
            <w:tcW w:w="2370" w:type="dxa"/>
            <w:shd w:val="clear" w:color="auto" w:fill="auto"/>
          </w:tcPr>
          <w:p w:rsidR="00C3678B" w:rsidRPr="001E1354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1354">
              <w:rPr>
                <w:rFonts w:ascii="Calibri" w:hAnsi="Calibri" w:cs="Calibri"/>
                <w:sz w:val="22"/>
                <w:szCs w:val="22"/>
              </w:rPr>
              <w:t>Jedinica</w:t>
            </w:r>
          </w:p>
        </w:tc>
        <w:tc>
          <w:tcPr>
            <w:tcW w:w="2370" w:type="dxa"/>
            <w:shd w:val="clear" w:color="auto" w:fill="auto"/>
          </w:tcPr>
          <w:p w:rsidR="00C3678B" w:rsidRPr="001E1354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1354">
              <w:rPr>
                <w:rFonts w:ascii="Calibri" w:hAnsi="Calibri" w:cs="Calibri"/>
                <w:sz w:val="22"/>
                <w:szCs w:val="22"/>
              </w:rPr>
              <w:t>Polazna vrijednost</w:t>
            </w:r>
          </w:p>
        </w:tc>
        <w:tc>
          <w:tcPr>
            <w:tcW w:w="2370" w:type="dxa"/>
            <w:shd w:val="clear" w:color="auto" w:fill="auto"/>
          </w:tcPr>
          <w:p w:rsidR="00C3678B" w:rsidRPr="001E1354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1354">
              <w:rPr>
                <w:rFonts w:ascii="Calibri" w:hAnsi="Calibri" w:cs="Calibri"/>
                <w:sz w:val="22"/>
                <w:szCs w:val="22"/>
              </w:rPr>
              <w:t>Ciljana vrijednost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961" w:type="dxa"/>
            <w:shd w:val="clear" w:color="auto" w:fill="auto"/>
          </w:tcPr>
          <w:p w:rsidR="00C3678B" w:rsidRPr="001E1354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Ostvarena</w:t>
            </w:r>
            <w:r w:rsidRPr="001E1354">
              <w:rPr>
                <w:rFonts w:ascii="Calibri" w:hAnsi="Calibri" w:cs="Calibri"/>
                <w:sz w:val="22"/>
                <w:szCs w:val="22"/>
              </w:rPr>
              <w:t xml:space="preserve"> vrijednost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3678B" w:rsidRPr="001E1354" w:rsidTr="00F27A60">
        <w:trPr>
          <w:trHeight w:val="898"/>
        </w:trPr>
        <w:tc>
          <w:tcPr>
            <w:tcW w:w="2370" w:type="dxa"/>
            <w:shd w:val="clear" w:color="auto" w:fill="auto"/>
            <w:vAlign w:val="center"/>
          </w:tcPr>
          <w:p w:rsidR="00C3678B" w:rsidRPr="001E1354" w:rsidRDefault="00C3678B" w:rsidP="00F27A60">
            <w:pPr>
              <w:rPr>
                <w:rFonts w:ascii="Calibri" w:hAnsi="Calibri" w:cs="Calibri"/>
                <w:sz w:val="22"/>
                <w:szCs w:val="22"/>
              </w:rPr>
            </w:pPr>
            <w:r w:rsidRPr="001E1354">
              <w:rPr>
                <w:rFonts w:ascii="Calibri" w:hAnsi="Calibri" w:cs="Calibri"/>
                <w:sz w:val="22"/>
                <w:szCs w:val="22"/>
              </w:rPr>
              <w:t>Broj novoizgrađenih objekata odgojno-obrazovnih ustanova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3678B" w:rsidRPr="001E1354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1354">
              <w:rPr>
                <w:rFonts w:ascii="Calibri" w:hAnsi="Calibri" w:cs="Calibri"/>
                <w:sz w:val="22"/>
                <w:szCs w:val="22"/>
              </w:rPr>
              <w:t>Broj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3678B" w:rsidRPr="001E1354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3678B" w:rsidRPr="001E1354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135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C3678B" w:rsidRPr="001E1354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C3678B" w:rsidRPr="00571180" w:rsidRDefault="00C3678B" w:rsidP="00484AD4"/>
    <w:p w:rsidR="00571180" w:rsidRDefault="00571180" w:rsidP="00484AD4">
      <w:pPr>
        <w:rPr>
          <w:b/>
        </w:rPr>
      </w:pPr>
    </w:p>
    <w:p w:rsidR="008F6EA0" w:rsidRDefault="008F6EA0" w:rsidP="00484AD4">
      <w:r>
        <w:t xml:space="preserve"> – izvrše</w:t>
      </w:r>
      <w:r w:rsidR="00347AD4">
        <w:t>nje 63</w:t>
      </w:r>
      <w:r w:rsidR="00785404">
        <w:t xml:space="preserve"> % u iznosu od </w:t>
      </w:r>
      <w:r w:rsidR="00F5373F">
        <w:t xml:space="preserve"> </w:t>
      </w:r>
      <w:r w:rsidR="00D679DE">
        <w:t>50</w:t>
      </w:r>
      <w:r w:rsidR="00940711">
        <w:t>.</w:t>
      </w:r>
      <w:r w:rsidR="00D679DE">
        <w:t xml:space="preserve">963,34 </w:t>
      </w:r>
      <w:r w:rsidR="00F5373F">
        <w:t>eura</w:t>
      </w:r>
      <w:r>
        <w:t xml:space="preserve"> izvor financiranja 11-opći prihodi primici - odnose se na redovno poslovanje škole te obuhvaćaju  rashode za naknade troškova zaposlenicima, za materijal i energiju, rashode za usluge, ostale nespomenute rashode poslovanja i ostale financijske rashode ( usluge platnog prometa i kamate)</w:t>
      </w:r>
      <w:r w:rsidR="00CD6EB0">
        <w:t>.</w:t>
      </w:r>
    </w:p>
    <w:p w:rsidR="00CD6EB0" w:rsidRDefault="00CD6EB0" w:rsidP="00484AD4">
      <w:r>
        <w:t>Ovim se programom ostvaruju sredstva za materijalne i financijske rashode škole koji omogućuju redovan rad škole</w:t>
      </w:r>
      <w:r w:rsidR="00D21FB0">
        <w:t xml:space="preserve"> s ciljem da se omogući kvalitetno i suvremeno obrazovanje uz primjenu suvremenih nastavnih sredstava i p</w:t>
      </w:r>
      <w:r w:rsidR="001E2624">
        <w:t xml:space="preserve">omagala te osiguranje </w:t>
      </w:r>
      <w:r w:rsidR="00D21FB0">
        <w:t xml:space="preserve"> kvalitetno</w:t>
      </w:r>
      <w:r w:rsidR="00571180">
        <w:t xml:space="preserve">g odvijanja </w:t>
      </w:r>
      <w:r w:rsidR="00D21FB0">
        <w:t>nastavnog procesa.</w:t>
      </w:r>
    </w:p>
    <w:p w:rsidR="00D21FB0" w:rsidRDefault="00A14698" w:rsidP="00484AD4">
      <w:r>
        <w:lastRenderedPageBreak/>
        <w:t>Ostvareni prihodi za  materijalne i financijske rashode iznose 42.850,00 eura iz čega je vidljivo da nosu dostatni za pokriće rashoda jer su u izvještajnom razdoblju visoki troškovi energenata.</w:t>
      </w:r>
    </w:p>
    <w:p w:rsidR="00D21FB0" w:rsidRDefault="00D21FB0" w:rsidP="00484AD4">
      <w:pPr>
        <w:rPr>
          <w:b/>
        </w:rPr>
      </w:pPr>
      <w:r w:rsidRPr="00183169">
        <w:rPr>
          <w:b/>
        </w:rPr>
        <w:t>Program</w:t>
      </w:r>
      <w:r w:rsidR="00183169" w:rsidRPr="00183169">
        <w:rPr>
          <w:b/>
        </w:rPr>
        <w:t xml:space="preserve"> 1035 – rashodi i izdaci osnovnih škole</w:t>
      </w:r>
    </w:p>
    <w:p w:rsidR="00C3678B" w:rsidRDefault="00C3678B" w:rsidP="00484AD4">
      <w:pPr>
        <w:rPr>
          <w:b/>
        </w:rPr>
      </w:pPr>
    </w:p>
    <w:p w:rsidR="0085409B" w:rsidRDefault="0085409B" w:rsidP="00484AD4">
      <w:pPr>
        <w:rPr>
          <w:b/>
        </w:rPr>
      </w:pPr>
    </w:p>
    <w:p w:rsidR="0085409B" w:rsidRDefault="0085409B" w:rsidP="0085409B">
      <w:r>
        <w:rPr>
          <w:b/>
        </w:rPr>
        <w:t xml:space="preserve">Cilj programa: </w:t>
      </w:r>
      <w:r>
        <w:t xml:space="preserve">Kvalitetno i suvremeno obrazovanje (PC 4), Mjera 4.2 Osiguranje odgovarajućih ljudskih i materijalnih kapaciteta za </w:t>
      </w:r>
      <w:proofErr w:type="spellStart"/>
      <w:r>
        <w:t>predškole</w:t>
      </w:r>
      <w:proofErr w:type="spellEnd"/>
      <w:r>
        <w:t xml:space="preserve"> i školske ustanove</w:t>
      </w:r>
    </w:p>
    <w:p w:rsidR="00C3678B" w:rsidRDefault="00C3678B" w:rsidP="008540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268"/>
        <w:gridCol w:w="1165"/>
        <w:gridCol w:w="1800"/>
        <w:gridCol w:w="2251"/>
      </w:tblGrid>
      <w:tr w:rsidR="00C3678B" w:rsidRPr="0033225E" w:rsidTr="00F27A60">
        <w:trPr>
          <w:trHeight w:val="422"/>
        </w:trPr>
        <w:tc>
          <w:tcPr>
            <w:tcW w:w="3510" w:type="dxa"/>
            <w:shd w:val="clear" w:color="auto" w:fill="auto"/>
            <w:vAlign w:val="center"/>
          </w:tcPr>
          <w:p w:rsidR="00C3678B" w:rsidRPr="0033225E" w:rsidRDefault="00C3678B" w:rsidP="00F27A60">
            <w:pPr>
              <w:rPr>
                <w:rFonts w:ascii="Calibri" w:hAnsi="Calibri" w:cs="Calibri"/>
                <w:sz w:val="22"/>
                <w:szCs w:val="22"/>
              </w:rPr>
            </w:pPr>
            <w:r w:rsidRPr="0033225E">
              <w:rPr>
                <w:rFonts w:ascii="Calibri" w:hAnsi="Calibri" w:cs="Calibri"/>
                <w:sz w:val="22"/>
                <w:szCs w:val="22"/>
              </w:rPr>
              <w:t>Pokazatelj rezultata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78B" w:rsidRPr="0033225E" w:rsidRDefault="00C3678B" w:rsidP="00F27A60">
            <w:pPr>
              <w:rPr>
                <w:rFonts w:ascii="Calibri" w:hAnsi="Calibri" w:cs="Calibri"/>
                <w:sz w:val="22"/>
                <w:szCs w:val="22"/>
              </w:rPr>
            </w:pPr>
            <w:r w:rsidRPr="0033225E">
              <w:rPr>
                <w:rFonts w:ascii="Calibri" w:hAnsi="Calibri" w:cs="Calibri"/>
                <w:sz w:val="22"/>
                <w:szCs w:val="22"/>
              </w:rPr>
              <w:t>Jedinica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3678B" w:rsidRPr="0033225E" w:rsidRDefault="00C3678B" w:rsidP="00F27A60">
            <w:pPr>
              <w:rPr>
                <w:rFonts w:ascii="Calibri" w:hAnsi="Calibri" w:cs="Calibri"/>
                <w:sz w:val="22"/>
                <w:szCs w:val="22"/>
              </w:rPr>
            </w:pPr>
            <w:r w:rsidRPr="0033225E">
              <w:rPr>
                <w:rFonts w:ascii="Calibri" w:hAnsi="Calibri" w:cs="Calibri"/>
                <w:sz w:val="22"/>
                <w:szCs w:val="22"/>
              </w:rPr>
              <w:t>Polazna vrijednost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3678B" w:rsidRPr="0033225E" w:rsidRDefault="00C3678B" w:rsidP="00F27A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Ciljana vrijednost 2025</w:t>
            </w:r>
          </w:p>
        </w:tc>
        <w:tc>
          <w:tcPr>
            <w:tcW w:w="3206" w:type="dxa"/>
          </w:tcPr>
          <w:p w:rsidR="00C3678B" w:rsidRPr="0033225E" w:rsidRDefault="00C3678B" w:rsidP="00F27A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Ostvarena  vrijednost 2025</w:t>
            </w:r>
          </w:p>
        </w:tc>
      </w:tr>
      <w:tr w:rsidR="00C3678B" w:rsidTr="00F27A60">
        <w:tc>
          <w:tcPr>
            <w:tcW w:w="3510" w:type="dxa"/>
            <w:shd w:val="clear" w:color="auto" w:fill="auto"/>
            <w:vAlign w:val="center"/>
          </w:tcPr>
          <w:p w:rsidR="00C3678B" w:rsidRPr="0033225E" w:rsidRDefault="00C3678B" w:rsidP="00F27A60">
            <w:pPr>
              <w:rPr>
                <w:rFonts w:ascii="Calibri" w:hAnsi="Calibri" w:cs="Calibri"/>
                <w:sz w:val="22"/>
                <w:szCs w:val="22"/>
              </w:rPr>
            </w:pPr>
            <w:r w:rsidRPr="0033225E">
              <w:rPr>
                <w:rFonts w:ascii="Calibri" w:hAnsi="Calibri" w:cs="Calibri"/>
                <w:sz w:val="22"/>
                <w:szCs w:val="22"/>
              </w:rPr>
              <w:t>Broj učenika polaznika produženog boravka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78B" w:rsidRPr="0033225E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225E">
              <w:rPr>
                <w:rFonts w:ascii="Calibri" w:hAnsi="Calibri" w:cs="Calibri"/>
                <w:sz w:val="22"/>
                <w:szCs w:val="22"/>
              </w:rPr>
              <w:t>Broj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3678B" w:rsidRPr="0033225E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3678B" w:rsidRPr="0033225E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3206" w:type="dxa"/>
          </w:tcPr>
          <w:p w:rsidR="00C3678B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</w:tr>
      <w:tr w:rsidR="00C3678B" w:rsidTr="00F27A60">
        <w:tc>
          <w:tcPr>
            <w:tcW w:w="3510" w:type="dxa"/>
            <w:shd w:val="clear" w:color="auto" w:fill="auto"/>
            <w:vAlign w:val="center"/>
          </w:tcPr>
          <w:p w:rsidR="00C3678B" w:rsidRPr="0033225E" w:rsidRDefault="00C3678B" w:rsidP="00F27A60">
            <w:pPr>
              <w:rPr>
                <w:rFonts w:ascii="Calibri" w:hAnsi="Calibri" w:cs="Calibri"/>
                <w:sz w:val="22"/>
                <w:szCs w:val="22"/>
              </w:rPr>
            </w:pPr>
            <w:r w:rsidRPr="0033225E">
              <w:rPr>
                <w:rFonts w:ascii="Calibri" w:hAnsi="Calibri" w:cs="Calibri"/>
                <w:sz w:val="22"/>
                <w:szCs w:val="22"/>
              </w:rPr>
              <w:t>Broj sati iznajml</w:t>
            </w:r>
            <w:r>
              <w:rPr>
                <w:rFonts w:ascii="Calibri" w:hAnsi="Calibri" w:cs="Calibri"/>
                <w:sz w:val="22"/>
                <w:szCs w:val="22"/>
              </w:rPr>
              <w:t>jivanja školske dvorane - tjedno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78B" w:rsidRPr="0033225E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225E">
              <w:rPr>
                <w:rFonts w:ascii="Calibri" w:hAnsi="Calibri" w:cs="Calibri"/>
                <w:sz w:val="22"/>
                <w:szCs w:val="22"/>
              </w:rPr>
              <w:t>Sat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3678B" w:rsidRPr="0033225E" w:rsidRDefault="00B9186F" w:rsidP="00C3678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C3678B">
              <w:rPr>
                <w:rFonts w:ascii="Calibri" w:hAnsi="Calibri" w:cs="Calibri"/>
                <w:sz w:val="22"/>
                <w:szCs w:val="22"/>
              </w:rPr>
              <w:t>8,5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3678B" w:rsidRPr="0033225E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206" w:type="dxa"/>
          </w:tcPr>
          <w:p w:rsidR="00C3678B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C3678B" w:rsidTr="00F27A60">
        <w:tc>
          <w:tcPr>
            <w:tcW w:w="3510" w:type="dxa"/>
            <w:shd w:val="clear" w:color="auto" w:fill="auto"/>
            <w:vAlign w:val="center"/>
          </w:tcPr>
          <w:p w:rsidR="00C3678B" w:rsidRPr="0033225E" w:rsidRDefault="00C3678B" w:rsidP="00F27A60">
            <w:pPr>
              <w:rPr>
                <w:rFonts w:ascii="Calibri" w:hAnsi="Calibri" w:cs="Calibri"/>
                <w:sz w:val="22"/>
                <w:szCs w:val="22"/>
              </w:rPr>
            </w:pPr>
            <w:r w:rsidRPr="0033225E">
              <w:rPr>
                <w:rFonts w:ascii="Calibri" w:hAnsi="Calibri" w:cs="Calibri"/>
                <w:sz w:val="22"/>
                <w:szCs w:val="22"/>
              </w:rPr>
              <w:t>Broj učenika uključenih u izvannastavnu aktivnost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78B" w:rsidRPr="0033225E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225E">
              <w:rPr>
                <w:rFonts w:ascii="Calibri" w:hAnsi="Calibri" w:cs="Calibri"/>
                <w:sz w:val="22"/>
                <w:szCs w:val="22"/>
              </w:rPr>
              <w:t>Broj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3678B" w:rsidRPr="0033225E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225E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3678B" w:rsidRPr="0033225E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348</w:t>
            </w:r>
          </w:p>
        </w:tc>
        <w:tc>
          <w:tcPr>
            <w:tcW w:w="3206" w:type="dxa"/>
          </w:tcPr>
          <w:p w:rsidR="00C3678B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348</w:t>
            </w:r>
          </w:p>
        </w:tc>
      </w:tr>
      <w:tr w:rsidR="00C3678B" w:rsidRPr="0033225E" w:rsidTr="00F27A60">
        <w:tc>
          <w:tcPr>
            <w:tcW w:w="3510" w:type="dxa"/>
            <w:shd w:val="clear" w:color="auto" w:fill="auto"/>
            <w:vAlign w:val="center"/>
          </w:tcPr>
          <w:p w:rsidR="00C3678B" w:rsidRPr="0033225E" w:rsidRDefault="00C3678B" w:rsidP="00F27A60">
            <w:pPr>
              <w:rPr>
                <w:rFonts w:ascii="Calibri" w:hAnsi="Calibri" w:cs="Calibri"/>
                <w:sz w:val="22"/>
                <w:szCs w:val="22"/>
              </w:rPr>
            </w:pPr>
            <w:r w:rsidRPr="0033225E">
              <w:rPr>
                <w:rFonts w:ascii="Calibri" w:hAnsi="Calibri" w:cs="Calibri"/>
                <w:sz w:val="22"/>
                <w:szCs w:val="22"/>
              </w:rPr>
              <w:t>Broj učenika kojima je osiguran pomoćnik u nastavi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78B" w:rsidRPr="0033225E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225E">
              <w:rPr>
                <w:rFonts w:ascii="Calibri" w:hAnsi="Calibri" w:cs="Calibri"/>
                <w:sz w:val="22"/>
                <w:szCs w:val="22"/>
              </w:rPr>
              <w:t>Broj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3678B" w:rsidRPr="0033225E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225E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3678B" w:rsidRPr="0033225E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225E">
              <w:rPr>
                <w:rFonts w:ascii="Calibri" w:hAnsi="Calibri" w:cs="Calibri"/>
                <w:sz w:val="22"/>
                <w:szCs w:val="22"/>
              </w:rPr>
              <w:t>7</w:t>
            </w:r>
            <w:r w:rsidR="00B9186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206" w:type="dxa"/>
          </w:tcPr>
          <w:p w:rsidR="00B9186F" w:rsidRDefault="00C3678B" w:rsidP="00F27A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  <w:p w:rsidR="00C3678B" w:rsidRPr="0033225E" w:rsidRDefault="00B9186F" w:rsidP="00F27A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940711">
              <w:rPr>
                <w:rFonts w:ascii="Calibri" w:hAnsi="Calibri" w:cs="Calibri"/>
                <w:sz w:val="22"/>
                <w:szCs w:val="22"/>
              </w:rPr>
              <w:t xml:space="preserve">7  </w:t>
            </w:r>
            <w:r w:rsidR="00C3678B"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3678B" w:rsidTr="00F27A60">
        <w:tc>
          <w:tcPr>
            <w:tcW w:w="3510" w:type="dxa"/>
            <w:shd w:val="clear" w:color="auto" w:fill="auto"/>
            <w:vAlign w:val="center"/>
          </w:tcPr>
          <w:p w:rsidR="00C3678B" w:rsidRPr="0033225E" w:rsidRDefault="00C3678B" w:rsidP="00F27A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Izvannastavna aktivnost građanskog odgoja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78B" w:rsidRPr="0033225E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Sati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3678B" w:rsidRPr="0033225E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3678B" w:rsidRPr="0033225E" w:rsidRDefault="00C3678B" w:rsidP="00F27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3206" w:type="dxa"/>
          </w:tcPr>
          <w:p w:rsidR="00AE199D" w:rsidRDefault="00AE199D" w:rsidP="00AE199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678B" w:rsidRDefault="00C3678B" w:rsidP="00AE19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</w:tr>
    </w:tbl>
    <w:p w:rsidR="00C3678B" w:rsidRPr="00571180" w:rsidRDefault="00C3678B" w:rsidP="0085409B"/>
    <w:p w:rsidR="0085409B" w:rsidRPr="00183169" w:rsidRDefault="0085409B" w:rsidP="00484AD4">
      <w:pPr>
        <w:rPr>
          <w:b/>
        </w:rPr>
      </w:pPr>
    </w:p>
    <w:p w:rsidR="008F6EA0" w:rsidRDefault="00183169" w:rsidP="00484AD4">
      <w:r>
        <w:rPr>
          <w:b/>
        </w:rPr>
        <w:t>A103501- Aktivnost</w:t>
      </w:r>
      <w:r w:rsidR="008F6EA0" w:rsidRPr="00A86ECA">
        <w:rPr>
          <w:b/>
        </w:rPr>
        <w:t xml:space="preserve"> produženog boravka</w:t>
      </w:r>
      <w:r w:rsidR="00505AC6">
        <w:t xml:space="preserve"> – Financira se iz izvo</w:t>
      </w:r>
      <w:r w:rsidR="001E6100">
        <w:t>ra 11 od</w:t>
      </w:r>
      <w:r w:rsidR="00505AC6">
        <w:t>nosno</w:t>
      </w:r>
      <w:r w:rsidR="001E6100">
        <w:t xml:space="preserve"> iz proračuna Grada Čakovec,</w:t>
      </w:r>
      <w:r w:rsidR="00505AC6">
        <w:t xml:space="preserve"> izvora 43 odnosno  rodite</w:t>
      </w:r>
      <w:r w:rsidR="001E2624">
        <w:t>lji učenika, a</w:t>
      </w:r>
      <w:r w:rsidR="001E6100">
        <w:t xml:space="preserve"> za jednu učenicu romske nac</w:t>
      </w:r>
      <w:r w:rsidR="00940711">
        <w:t xml:space="preserve">ionalnosti </w:t>
      </w:r>
      <w:r w:rsidR="001E6100">
        <w:t xml:space="preserve">  dio roditeljske obveze  fin</w:t>
      </w:r>
      <w:r w:rsidR="00C3678B">
        <w:t>ancira se iz  izvora 531</w:t>
      </w:r>
      <w:r w:rsidR="001E2624">
        <w:t>.</w:t>
      </w:r>
      <w:r w:rsidR="00505AC6">
        <w:t xml:space="preserve"> Ukupni prihodi su ostva</w:t>
      </w:r>
      <w:r w:rsidR="00D1157C">
        <w:t>reni u iznosu od 63.557,75</w:t>
      </w:r>
      <w:r w:rsidR="00505AC6">
        <w:t xml:space="preserve"> eura</w:t>
      </w:r>
      <w:r w:rsidR="00D1157C">
        <w:t>, a rashodi  u iznosu od 64.572,66.</w:t>
      </w:r>
      <w:r w:rsidR="00977387">
        <w:t xml:space="preserve"> Manjak prihoda nad rashodima je opet zbog uvrštavanja plaće za 06./2025 u rashode , a  Grad nam je doznačio sredstva u mjesecu srpnju.</w:t>
      </w:r>
    </w:p>
    <w:p w:rsidR="00A86ECA" w:rsidRDefault="00A86ECA" w:rsidP="00484AD4"/>
    <w:p w:rsidR="00A86ECA" w:rsidRDefault="00A86ECA" w:rsidP="00484AD4">
      <w:r w:rsidRPr="00A86ECA">
        <w:rPr>
          <w:b/>
        </w:rPr>
        <w:t xml:space="preserve">A103502 </w:t>
      </w:r>
      <w:r>
        <w:rPr>
          <w:b/>
        </w:rPr>
        <w:t>–</w:t>
      </w:r>
      <w:r w:rsidRPr="00A86ECA">
        <w:rPr>
          <w:b/>
        </w:rPr>
        <w:t xml:space="preserve"> Školstvo</w:t>
      </w:r>
      <w:r>
        <w:rPr>
          <w:b/>
        </w:rPr>
        <w:t xml:space="preserve"> </w:t>
      </w:r>
      <w:r w:rsidRPr="00A86ECA">
        <w:t>fina</w:t>
      </w:r>
      <w:r w:rsidR="00784B67">
        <w:t>n</w:t>
      </w:r>
      <w:r w:rsidRPr="00A86ECA">
        <w:t>cirana je iz različitih izvora</w:t>
      </w:r>
      <w:r>
        <w:t>:</w:t>
      </w:r>
    </w:p>
    <w:p w:rsidR="00C71AC8" w:rsidRDefault="00C71AC8" w:rsidP="00484AD4"/>
    <w:p w:rsidR="00A86ECA" w:rsidRDefault="00A86ECA" w:rsidP="00A86ECA">
      <w:pPr>
        <w:pStyle w:val="Odlomakpopisa"/>
        <w:numPr>
          <w:ilvl w:val="0"/>
          <w:numId w:val="2"/>
        </w:numPr>
      </w:pPr>
      <w:r w:rsidRPr="00A86ECA">
        <w:t>11 –</w:t>
      </w:r>
      <w:r>
        <w:t xml:space="preserve"> Grad Č</w:t>
      </w:r>
      <w:r w:rsidRPr="00A86ECA">
        <w:t xml:space="preserve">akovec  u iznosu </w:t>
      </w:r>
      <w:r w:rsidR="00DB7A98">
        <w:t>od 5.182,38</w:t>
      </w:r>
      <w:r>
        <w:t xml:space="preserve"> a odnosi se na tehničku podršku </w:t>
      </w:r>
      <w:r w:rsidR="00DB7A98">
        <w:t xml:space="preserve">  e škole,</w:t>
      </w:r>
      <w:r w:rsidR="001E6100">
        <w:t xml:space="preserve"> potrebe  Dječjeg  foruma</w:t>
      </w:r>
      <w:r w:rsidR="00DB7A98">
        <w:t xml:space="preserve"> sredstva za preinaku brave</w:t>
      </w:r>
      <w:r w:rsidR="00977387">
        <w:t xml:space="preserve"> na ulaznim vratima</w:t>
      </w:r>
    </w:p>
    <w:p w:rsidR="00846267" w:rsidRDefault="00846267" w:rsidP="00846267">
      <w:pPr>
        <w:pStyle w:val="Odlomakpopisa"/>
      </w:pPr>
    </w:p>
    <w:p w:rsidR="009E52CE" w:rsidRDefault="009E52CE" w:rsidP="009E52CE">
      <w:pPr>
        <w:pStyle w:val="Odlomakpopisa"/>
        <w:numPr>
          <w:ilvl w:val="0"/>
          <w:numId w:val="2"/>
        </w:numPr>
      </w:pPr>
      <w:r>
        <w:t xml:space="preserve">43 – izvor za namjenska sredstva, a odnosi se na uplate roditelja za financiranje  predstava, </w:t>
      </w:r>
      <w:r w:rsidR="00A015C6">
        <w:t>terenske nastave, časopisa, osiguranje učenika, fotografiranje učenika i sl.</w:t>
      </w:r>
    </w:p>
    <w:p w:rsidR="009E52CE" w:rsidRDefault="009E52CE" w:rsidP="009E52CE">
      <w:pPr>
        <w:pStyle w:val="Odlomakpopisa"/>
      </w:pPr>
    </w:p>
    <w:p w:rsidR="009E52CE" w:rsidRDefault="00C3678B" w:rsidP="009E52CE">
      <w:pPr>
        <w:pStyle w:val="Odlomakpopisa"/>
        <w:numPr>
          <w:ilvl w:val="0"/>
          <w:numId w:val="2"/>
        </w:numPr>
      </w:pPr>
      <w:r>
        <w:t>521</w:t>
      </w:r>
      <w:r w:rsidR="009E52CE">
        <w:t xml:space="preserve"> – sredstva EU za školsku shemu, </w:t>
      </w:r>
      <w:r w:rsidR="00A015C6">
        <w:t xml:space="preserve">i preneseni višak </w:t>
      </w:r>
      <w:r w:rsidR="009E52CE">
        <w:t xml:space="preserve"> Erazmus projekt</w:t>
      </w:r>
      <w:r w:rsidR="00A015C6">
        <w:t>a.</w:t>
      </w:r>
      <w:r w:rsidR="009E52CE">
        <w:t xml:space="preserve">  </w:t>
      </w:r>
    </w:p>
    <w:p w:rsidR="00846267" w:rsidRDefault="00846267" w:rsidP="009E52CE"/>
    <w:p w:rsidR="00392F3C" w:rsidRDefault="00C3678B" w:rsidP="00A86ECA">
      <w:pPr>
        <w:pStyle w:val="Odlomakpopisa"/>
        <w:numPr>
          <w:ilvl w:val="0"/>
          <w:numId w:val="2"/>
        </w:numPr>
      </w:pPr>
      <w:r>
        <w:t>531</w:t>
      </w:r>
      <w:r w:rsidR="00392F3C">
        <w:t xml:space="preserve"> – državni proračun-odnosi se na financiranje rad</w:t>
      </w:r>
      <w:r w:rsidR="00D126F9">
        <w:t>a</w:t>
      </w:r>
      <w:r w:rsidR="00392F3C">
        <w:t xml:space="preserve"> županijskih s</w:t>
      </w:r>
      <w:r w:rsidR="00DB7A98">
        <w:t>tručnih vijeća</w:t>
      </w:r>
      <w:r w:rsidR="00392F3C">
        <w:t>, prijevoz uče</w:t>
      </w:r>
      <w:r w:rsidR="00DB7A98">
        <w:t xml:space="preserve">nika s teškoćama, </w:t>
      </w:r>
      <w:r w:rsidR="00846267">
        <w:t xml:space="preserve"> PDV sadržan u školskoj shemi</w:t>
      </w:r>
    </w:p>
    <w:p w:rsidR="00846267" w:rsidRDefault="00846267" w:rsidP="00846267"/>
    <w:p w:rsidR="00A015C6" w:rsidRDefault="00BF4FB5" w:rsidP="00392F3C">
      <w:pPr>
        <w:pStyle w:val="Odlomakpopisa"/>
        <w:numPr>
          <w:ilvl w:val="0"/>
          <w:numId w:val="2"/>
        </w:numPr>
      </w:pPr>
      <w:r>
        <w:t>Izvor 31- vlastit prihodi</w:t>
      </w:r>
      <w:r w:rsidR="00A015C6">
        <w:t xml:space="preserve"> – prihodi od iznajmljivanja sportske dvorane koriste za nabavu  dugotrajne imovine te ostale troškove poslovanja koje nismo mogli pokriti iz drugih izvora.</w:t>
      </w:r>
    </w:p>
    <w:p w:rsidR="00A015C6" w:rsidRDefault="00A015C6" w:rsidP="00A015C6">
      <w:pPr>
        <w:pStyle w:val="Odlomakpopisa"/>
      </w:pPr>
    </w:p>
    <w:p w:rsidR="00A015C6" w:rsidRDefault="00A015C6" w:rsidP="00A015C6">
      <w:pPr>
        <w:pStyle w:val="Odlomakpopisa"/>
      </w:pPr>
      <w:r>
        <w:t>Prihod od djelatnika za prehranu koristi za nabavu namirnice za prehranu.</w:t>
      </w:r>
    </w:p>
    <w:p w:rsidR="00DB7A98" w:rsidRDefault="00DB7A98" w:rsidP="00A015C6">
      <w:pPr>
        <w:pStyle w:val="Odlomakpopisa"/>
      </w:pPr>
    </w:p>
    <w:p w:rsidR="00D1157C" w:rsidRDefault="00D1157C" w:rsidP="00D1157C">
      <w:pPr>
        <w:pStyle w:val="Odlomakpopisa"/>
        <w:numPr>
          <w:ilvl w:val="0"/>
          <w:numId w:val="2"/>
        </w:numPr>
      </w:pPr>
      <w:r>
        <w:lastRenderedPageBreak/>
        <w:t xml:space="preserve">581 </w:t>
      </w:r>
      <w:r w:rsidR="00DB7A98">
        <w:t>– Prihodi od  Grada temeljem javnih poziva društvenih djelatnosti – ostvareni su prihodi  po osnovi projekata iz 2024. godine</w:t>
      </w:r>
    </w:p>
    <w:p w:rsidR="00A015C6" w:rsidRDefault="00A015C6" w:rsidP="00DB7A98"/>
    <w:p w:rsidR="00A015C6" w:rsidRDefault="00A015C6" w:rsidP="00392F3C">
      <w:pPr>
        <w:pStyle w:val="Odlomakpopisa"/>
        <w:numPr>
          <w:ilvl w:val="0"/>
          <w:numId w:val="2"/>
        </w:numPr>
      </w:pPr>
      <w:r>
        <w:t>izvor 61 – donacije – o</w:t>
      </w:r>
      <w:r w:rsidR="00C3678B">
        <w:t xml:space="preserve">stvaren je u iznosu od 200,00 </w:t>
      </w:r>
      <w:r w:rsidR="0085409B">
        <w:t xml:space="preserve"> D</w:t>
      </w:r>
      <w:r w:rsidR="00977387">
        <w:t>onacije su  pre</w:t>
      </w:r>
      <w:r w:rsidR="005C20DE">
        <w:t>ma iskazanim vrijednostima doniranih sredstava  iskazane u prihodima i rashodima.</w:t>
      </w:r>
    </w:p>
    <w:p w:rsidR="00BF4FB5" w:rsidRDefault="00BF4FB5" w:rsidP="00DB7A98">
      <w:pPr>
        <w:ind w:left="360"/>
      </w:pPr>
    </w:p>
    <w:p w:rsidR="009E52CE" w:rsidRDefault="009E52CE" w:rsidP="009E52CE">
      <w:pPr>
        <w:pStyle w:val="Odlomakpopisa"/>
      </w:pPr>
    </w:p>
    <w:p w:rsidR="009E52CE" w:rsidRDefault="009E52CE" w:rsidP="009E52CE">
      <w:r w:rsidRPr="009E52CE">
        <w:rPr>
          <w:b/>
        </w:rPr>
        <w:t>A103512 – Rashodi za plaće i ostala materij</w:t>
      </w:r>
      <w:r>
        <w:rPr>
          <w:b/>
        </w:rPr>
        <w:t>a</w:t>
      </w:r>
      <w:r w:rsidRPr="009E52CE">
        <w:rPr>
          <w:b/>
        </w:rPr>
        <w:t>lna prava</w:t>
      </w:r>
      <w:r>
        <w:rPr>
          <w:b/>
        </w:rPr>
        <w:t xml:space="preserve"> – </w:t>
      </w:r>
      <w:r>
        <w:t xml:space="preserve">Financira se iz državnog </w:t>
      </w:r>
    </w:p>
    <w:p w:rsidR="00DB7A98" w:rsidRPr="009E52CE" w:rsidRDefault="009E52CE" w:rsidP="009E52CE">
      <w:r>
        <w:t>proračuna u skladu s važećim propisima</w:t>
      </w:r>
      <w:r w:rsidR="005927A6">
        <w:t xml:space="preserve"> ( </w:t>
      </w:r>
      <w:r w:rsidR="003C0A9E">
        <w:t>Uredba o plaćama, Kolektivni ugovor</w:t>
      </w:r>
      <w:r w:rsidR="005927A6">
        <w:t>)</w:t>
      </w:r>
      <w:r w:rsidR="00DB7A98">
        <w:t xml:space="preserve"> Ukupa</w:t>
      </w:r>
      <w:r w:rsidR="00C17101">
        <w:t>n iznos rashoda</w:t>
      </w:r>
      <w:r w:rsidR="00916424">
        <w:t xml:space="preserve"> iznosi</w:t>
      </w:r>
      <w:r w:rsidR="00C17101">
        <w:t xml:space="preserve"> 762.849,22 eura, a ukupan iznos prihoda iznosi 65</w:t>
      </w:r>
      <w:r w:rsidR="00916424">
        <w:t>4.731,08 što znači da je ostvaren</w:t>
      </w:r>
      <w:r w:rsidR="00C17101">
        <w:t xml:space="preserve"> manjak u iznosu od 108.118,14</w:t>
      </w:r>
      <w:r w:rsidR="00916424">
        <w:t>. Ostvaren je metodološki manjak jer je u rashodima na dan 30. 06. 2025.  iskazana plaća za 06. mjesec 2025. a prihodi za tu plaću nisu obuhvaćeni.</w:t>
      </w:r>
    </w:p>
    <w:p w:rsidR="00392F3C" w:rsidRDefault="00392F3C" w:rsidP="00392F3C">
      <w:pPr>
        <w:pStyle w:val="Odlomakpopisa"/>
      </w:pPr>
    </w:p>
    <w:p w:rsidR="002929AF" w:rsidRPr="002929AF" w:rsidRDefault="002929AF" w:rsidP="00A37C89">
      <w:r w:rsidRPr="002929AF">
        <w:rPr>
          <w:b/>
        </w:rPr>
        <w:t>A103521 – Projekt Građanski odgoj</w:t>
      </w:r>
      <w:r>
        <w:rPr>
          <w:b/>
        </w:rPr>
        <w:t xml:space="preserve"> – izvor 11 – </w:t>
      </w:r>
      <w:r w:rsidR="00916424">
        <w:t>476</w:t>
      </w:r>
      <w:r w:rsidR="004A36B2">
        <w:t>,</w:t>
      </w:r>
      <w:r w:rsidRPr="002929AF">
        <w:t>00</w:t>
      </w:r>
      <w:r w:rsidR="004A36B2">
        <w:rPr>
          <w:b/>
        </w:rPr>
        <w:t xml:space="preserve"> – </w:t>
      </w:r>
      <w:r>
        <w:rPr>
          <w:b/>
        </w:rPr>
        <w:t xml:space="preserve">  </w:t>
      </w:r>
      <w:r w:rsidRPr="002929AF">
        <w:t>Grad financira izvannastavnu aktivno</w:t>
      </w:r>
      <w:r w:rsidR="00916424">
        <w:t>st Građanski odgoj i obrazovanja. Financira se rad učitelja koji provodi izvannastavnu aktivnost prema broju održanih sati.</w:t>
      </w:r>
    </w:p>
    <w:p w:rsidR="00D126F9" w:rsidRDefault="00D126F9" w:rsidP="00A37C89">
      <w:pPr>
        <w:rPr>
          <w:b/>
        </w:rPr>
      </w:pPr>
    </w:p>
    <w:p w:rsidR="006377E3" w:rsidRDefault="002929AF" w:rsidP="00A37C89">
      <w:r>
        <w:rPr>
          <w:b/>
        </w:rPr>
        <w:t>A103522 – Prehrana učenika OŠ na teret državnog proračuna –</w:t>
      </w:r>
      <w:r w:rsidR="00B94048">
        <w:rPr>
          <w:b/>
        </w:rPr>
        <w:t xml:space="preserve"> </w:t>
      </w:r>
      <w:r w:rsidR="00B94048" w:rsidRPr="00B94048">
        <w:t>ova aktivnost  omogućuje dostupnost toplog obroka za vrijeme nastave svim učenicima</w:t>
      </w:r>
      <w:r w:rsidR="00B94048">
        <w:t>. P</w:t>
      </w:r>
      <w:r w:rsidRPr="00B94048">
        <w:t>rihodi</w:t>
      </w:r>
      <w:r>
        <w:t xml:space="preserve"> se ostvaruju na temelju podataka o prehrani i dolasku učenika u školu u e dnevniku, a rashodi na temelju stvarno nast</w:t>
      </w:r>
      <w:r w:rsidR="00DB55A8">
        <w:t>a</w:t>
      </w:r>
      <w:r>
        <w:t>lih t</w:t>
      </w:r>
      <w:r w:rsidR="00DB55A8">
        <w:t>r</w:t>
      </w:r>
      <w:r>
        <w:t>oškova</w:t>
      </w:r>
      <w:r w:rsidR="00270E6C">
        <w:t>. Na dan 30. 06. 2025. ostvaren je višak prihoda u iznosu 3.436,85 eura te kad tome  pribrojimo sredstva primljena za 5. mjesec 2025. koja smo iskazali na računu 27611 – Obveze proračunskih korisni ka za povrat u proračun 8.680.91 u državni proračun ćemo morati vratiti iznos od 12.117,76 eura</w:t>
      </w:r>
    </w:p>
    <w:p w:rsidR="00940711" w:rsidRDefault="00940711" w:rsidP="00A37C89"/>
    <w:p w:rsidR="00C3678B" w:rsidRDefault="00C3678B" w:rsidP="00A37C89"/>
    <w:p w:rsidR="007713B1" w:rsidRPr="00940711" w:rsidRDefault="006377E3" w:rsidP="00940711">
      <w:pPr>
        <w:pStyle w:val="Odlomakpopisa"/>
        <w:numPr>
          <w:ilvl w:val="0"/>
          <w:numId w:val="13"/>
        </w:numPr>
        <w:rPr>
          <w:b/>
        </w:rPr>
      </w:pPr>
      <w:r w:rsidRPr="00940711">
        <w:rPr>
          <w:b/>
        </w:rPr>
        <w:t xml:space="preserve"> </w:t>
      </w:r>
      <w:r w:rsidR="00940711" w:rsidRPr="00940711">
        <w:rPr>
          <w:b/>
        </w:rPr>
        <w:t>Obrazloženje stanja novčanih sredstava na žiro računu</w:t>
      </w:r>
      <w:r w:rsidR="002929AF" w:rsidRPr="00940711">
        <w:rPr>
          <w:b/>
        </w:rPr>
        <w:t xml:space="preserve"> </w:t>
      </w:r>
    </w:p>
    <w:p w:rsidR="006377E3" w:rsidRPr="006377E3" w:rsidRDefault="006377E3" w:rsidP="00A37C89">
      <w:pPr>
        <w:rPr>
          <w:b/>
        </w:rPr>
      </w:pPr>
    </w:p>
    <w:p w:rsidR="00A341BC" w:rsidRDefault="00C3678B" w:rsidP="00A37C89">
      <w:r>
        <w:t>Na dan 01.01.2025</w:t>
      </w:r>
      <w:r w:rsidR="003C0A9E">
        <w:t>. na žiro računu škole je bio iznos</w:t>
      </w:r>
      <w:r>
        <w:t xml:space="preserve"> 22.756,34</w:t>
      </w:r>
      <w:r w:rsidR="00B9186F">
        <w:t xml:space="preserve"> eura  i 3,93</w:t>
      </w:r>
      <w:r w:rsidR="004669C2">
        <w:t xml:space="preserve"> eura se nalazi</w:t>
      </w:r>
      <w:r w:rsidR="00B9186F">
        <w:t>lo i blagajni škole, a na dan 30. 06.2025</w:t>
      </w:r>
      <w:r w:rsidR="004669C2">
        <w:t xml:space="preserve">. </w:t>
      </w:r>
      <w:r w:rsidR="00B9186F">
        <w:t xml:space="preserve"> stanje žiro računa je 16.422,29, a stanje blagajne je bilo 40,08</w:t>
      </w:r>
      <w:r w:rsidR="004669C2">
        <w:t xml:space="preserve"> eura. </w:t>
      </w:r>
      <w:r w:rsidR="00CD6EB0">
        <w:t>Stanje na žiro računu se ne može  poistovjetiti s viškom ili manjkom rezultata poslovanja jer  višak prihoda je</w:t>
      </w:r>
      <w:r w:rsidR="00B9186F">
        <w:t xml:space="preserve"> već umanjen za obveze na dan 30. 06. 2025</w:t>
      </w:r>
      <w:r w:rsidR="00CD6EB0">
        <w:t>. godine, a odljev s računa će se desiti  tek kad te obveze budu podmirene.</w:t>
      </w:r>
    </w:p>
    <w:p w:rsidR="0092487D" w:rsidRDefault="0092487D" w:rsidP="00A37C89"/>
    <w:p w:rsidR="0092487D" w:rsidRDefault="0092487D" w:rsidP="0092487D">
      <w:pPr>
        <w:pStyle w:val="Odlomakpopisa"/>
        <w:numPr>
          <w:ilvl w:val="0"/>
          <w:numId w:val="13"/>
        </w:numPr>
        <w:rPr>
          <w:b/>
        </w:rPr>
      </w:pPr>
      <w:r w:rsidRPr="0092487D">
        <w:rPr>
          <w:b/>
        </w:rPr>
        <w:t>Račun  rashoda prema funkcijskoj klasifikaciji</w:t>
      </w:r>
    </w:p>
    <w:p w:rsidR="0092487D" w:rsidRDefault="0092487D" w:rsidP="0092487D">
      <w:pPr>
        <w:rPr>
          <w:b/>
        </w:rPr>
      </w:pPr>
    </w:p>
    <w:p w:rsidR="0092487D" w:rsidRDefault="0092487D" w:rsidP="0092487D">
      <w:r w:rsidRPr="0092487D">
        <w:t>Opći dio Polugodišnjeg izvještaja</w:t>
      </w:r>
      <w:r>
        <w:t xml:space="preserve"> o izvršen</w:t>
      </w:r>
      <w:r w:rsidR="004D67A5">
        <w:t>ju financijskog plana sadrži i Račun rashoda prema funkcijskoj klasifikaciji u kojem su iskazani rashodi prema propisanoj funkciji. Brojčane oznake i nazivi funkcijske klasifikaciji preuzeti su iz međunarodne klasifikacije  funkcija države (COFOG) – Klasifikacija rashoda u skladu s namjenom.</w:t>
      </w:r>
    </w:p>
    <w:p w:rsidR="005B1E80" w:rsidRDefault="004D67A5" w:rsidP="0092487D">
      <w:r>
        <w:t xml:space="preserve">Škola ima dvije funkcije: </w:t>
      </w:r>
    </w:p>
    <w:p w:rsidR="004D67A5" w:rsidRDefault="004D67A5" w:rsidP="005B1E80">
      <w:pPr>
        <w:pStyle w:val="Odlomakpopisa"/>
        <w:numPr>
          <w:ilvl w:val="0"/>
          <w:numId w:val="14"/>
        </w:numPr>
      </w:pPr>
      <w:r>
        <w:t>Glavna je 0912 – osnovno obrazovanje te sadrži podatak o uku</w:t>
      </w:r>
      <w:r w:rsidR="005B1E80">
        <w:t>p</w:t>
      </w:r>
      <w:r>
        <w:t>nim rashod</w:t>
      </w:r>
      <w:r w:rsidR="005B1E80">
        <w:t>ima poslovanja  i rashoda za nab</w:t>
      </w:r>
      <w:r>
        <w:t>a</w:t>
      </w:r>
      <w:r w:rsidR="005B1E80">
        <w:t>v</w:t>
      </w:r>
      <w:r>
        <w:t>u nefinancijske imovine</w:t>
      </w:r>
    </w:p>
    <w:p w:rsidR="005B1E80" w:rsidRDefault="005B1E80" w:rsidP="005B1E80">
      <w:pPr>
        <w:pStyle w:val="Odlomakpopisa"/>
        <w:numPr>
          <w:ilvl w:val="0"/>
          <w:numId w:val="14"/>
        </w:numPr>
      </w:pPr>
      <w:r>
        <w:t xml:space="preserve">  Dopunska funkcija je 096 – dodatne usluge u obrazovanju, a obuhvaća rashode poslovanja razreda 3 koji se odnose na prehranu učenika</w:t>
      </w:r>
    </w:p>
    <w:p w:rsidR="005B1E80" w:rsidRDefault="005B1E80" w:rsidP="005B1E80"/>
    <w:p w:rsidR="005B1E80" w:rsidRDefault="005B1E80" w:rsidP="005B1E80"/>
    <w:p w:rsidR="005B1E80" w:rsidRDefault="005B1E80" w:rsidP="005B1E80"/>
    <w:p w:rsidR="005B1E80" w:rsidRDefault="005B1E80" w:rsidP="005B1E80"/>
    <w:p w:rsidR="005B1E80" w:rsidRDefault="005B1E80" w:rsidP="005B1E80"/>
    <w:p w:rsidR="005B1E80" w:rsidRPr="0092487D" w:rsidRDefault="005B1E80" w:rsidP="005B1E80"/>
    <w:p w:rsidR="00997F69" w:rsidRDefault="00997F69" w:rsidP="00A37C89"/>
    <w:p w:rsidR="00997F69" w:rsidRDefault="00997F69" w:rsidP="00A37C89"/>
    <w:p w:rsidR="008C7218" w:rsidRPr="008C7218" w:rsidRDefault="00B9186F" w:rsidP="00A37C89">
      <w:pPr>
        <w:rPr>
          <w:b/>
        </w:rPr>
      </w:pPr>
      <w:r>
        <w:rPr>
          <w:b/>
        </w:rPr>
        <w:t>2</w:t>
      </w:r>
      <w:r w:rsidR="008C7218" w:rsidRPr="008C7218">
        <w:rPr>
          <w:b/>
        </w:rPr>
        <w:t xml:space="preserve">. POSEBNI IZVJEŠTAJI U GODIŠNJEM IZVJEŠTAJU O IZVRŠENJU </w:t>
      </w:r>
    </w:p>
    <w:p w:rsidR="008C7218" w:rsidRDefault="008C7218" w:rsidP="00A37C89">
      <w:pPr>
        <w:rPr>
          <w:b/>
        </w:rPr>
      </w:pPr>
      <w:r w:rsidRPr="008C7218">
        <w:rPr>
          <w:b/>
        </w:rPr>
        <w:t xml:space="preserve">                                 FINANCIJSKOG PLANA</w:t>
      </w:r>
    </w:p>
    <w:p w:rsidR="008C7218" w:rsidRDefault="008C7218" w:rsidP="00A37C89">
      <w:pPr>
        <w:rPr>
          <w:b/>
        </w:rPr>
      </w:pPr>
    </w:p>
    <w:p w:rsidR="009E6B45" w:rsidRDefault="008C7218" w:rsidP="009E6B45">
      <w:pPr>
        <w:pStyle w:val="Odlomakpopisa"/>
        <w:numPr>
          <w:ilvl w:val="0"/>
          <w:numId w:val="6"/>
        </w:numPr>
        <w:rPr>
          <w:b/>
        </w:rPr>
      </w:pPr>
      <w:r w:rsidRPr="00587A1E">
        <w:rPr>
          <w:b/>
        </w:rPr>
        <w:t>Škola nije imala zaduživanja na domaćem i stranom tržištu</w:t>
      </w:r>
    </w:p>
    <w:p w:rsidR="00587A1E" w:rsidRDefault="00587A1E" w:rsidP="00997F69"/>
    <w:p w:rsidR="008C7218" w:rsidRDefault="008C7218" w:rsidP="00997F69">
      <w:pPr>
        <w:pStyle w:val="Odlomakpopisa"/>
        <w:numPr>
          <w:ilvl w:val="0"/>
          <w:numId w:val="6"/>
        </w:numPr>
        <w:rPr>
          <w:b/>
        </w:rPr>
      </w:pPr>
      <w:r w:rsidRPr="00587A1E">
        <w:rPr>
          <w:b/>
        </w:rPr>
        <w:t xml:space="preserve">Izvještaj  o korištenju sredstava </w:t>
      </w:r>
      <w:r w:rsidR="00587A1E" w:rsidRPr="00587A1E">
        <w:rPr>
          <w:b/>
        </w:rPr>
        <w:t xml:space="preserve"> fondova  EU</w:t>
      </w:r>
    </w:p>
    <w:p w:rsidR="00587A1E" w:rsidRPr="00587A1E" w:rsidRDefault="00587A1E" w:rsidP="00587A1E">
      <w:pPr>
        <w:pStyle w:val="Odlomakpopisa"/>
        <w:rPr>
          <w:b/>
        </w:rPr>
      </w:pPr>
    </w:p>
    <w:p w:rsidR="00587A1E" w:rsidRDefault="00977387" w:rsidP="00587A1E">
      <w:pPr>
        <w:pStyle w:val="Odlomakpopisa"/>
      </w:pPr>
      <w:r>
        <w:t>Tijekom 2025</w:t>
      </w:r>
      <w:r w:rsidR="00587A1E" w:rsidRPr="00587A1E">
        <w:t xml:space="preserve">. godine </w:t>
      </w:r>
      <w:r w:rsidR="00587A1E">
        <w:t>Škola je koristila sred</w:t>
      </w:r>
      <w:r>
        <w:t xml:space="preserve">stva EU za </w:t>
      </w:r>
      <w:r w:rsidR="00587A1E">
        <w:t xml:space="preserve"> školsku shemu.</w:t>
      </w:r>
    </w:p>
    <w:p w:rsidR="00587A1E" w:rsidRDefault="00587A1E" w:rsidP="00587A1E">
      <w:pPr>
        <w:pStyle w:val="Odlomakpopisa"/>
      </w:pPr>
    </w:p>
    <w:tbl>
      <w:tblPr>
        <w:tblStyle w:val="Reetkatablice"/>
        <w:tblW w:w="84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60"/>
        <w:gridCol w:w="1134"/>
        <w:gridCol w:w="1134"/>
        <w:gridCol w:w="1308"/>
        <w:gridCol w:w="1102"/>
        <w:gridCol w:w="1417"/>
        <w:gridCol w:w="1134"/>
      </w:tblGrid>
      <w:tr w:rsidR="00562C4F" w:rsidTr="00916424">
        <w:tc>
          <w:tcPr>
            <w:tcW w:w="1260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3</w:t>
            </w:r>
          </w:p>
        </w:tc>
        <w:tc>
          <w:tcPr>
            <w:tcW w:w="1308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4</w:t>
            </w:r>
          </w:p>
        </w:tc>
        <w:tc>
          <w:tcPr>
            <w:tcW w:w="1102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587A1E" w:rsidRPr="00562C4F" w:rsidRDefault="00587A1E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87A1E" w:rsidRPr="00562C4F" w:rsidRDefault="009E6B45" w:rsidP="00587A1E">
            <w:pPr>
              <w:pStyle w:val="Odlomakpopisa"/>
              <w:ind w:left="0"/>
              <w:rPr>
                <w:sz w:val="16"/>
                <w:szCs w:val="16"/>
              </w:rPr>
            </w:pPr>
            <w:r w:rsidRPr="00562C4F">
              <w:rPr>
                <w:sz w:val="16"/>
                <w:szCs w:val="16"/>
              </w:rPr>
              <w:t>7</w:t>
            </w:r>
          </w:p>
        </w:tc>
      </w:tr>
      <w:tr w:rsidR="00562C4F" w:rsidTr="00916424">
        <w:tc>
          <w:tcPr>
            <w:tcW w:w="1260" w:type="dxa"/>
          </w:tcPr>
          <w:p w:rsidR="00562C4F" w:rsidRDefault="00562C4F" w:rsidP="00562C4F">
            <w:pPr>
              <w:pStyle w:val="Odlomakpopisa"/>
              <w:ind w:left="0"/>
            </w:pPr>
            <w:r>
              <w:t>EU fond</w:t>
            </w:r>
          </w:p>
          <w:p w:rsidR="00562C4F" w:rsidRDefault="00562C4F" w:rsidP="00562C4F">
            <w:pPr>
              <w:pStyle w:val="Odlomakpopisa"/>
              <w:ind w:left="0"/>
            </w:pPr>
            <w:r>
              <w:t>I</w:t>
            </w:r>
          </w:p>
        </w:tc>
        <w:tc>
          <w:tcPr>
            <w:tcW w:w="1134" w:type="dxa"/>
          </w:tcPr>
          <w:p w:rsidR="00562C4F" w:rsidRDefault="00562C4F" w:rsidP="00562C4F">
            <w:pPr>
              <w:pStyle w:val="Odlomakpopisa"/>
              <w:ind w:left="0"/>
            </w:pPr>
            <w:r>
              <w:t>Prihodi</w:t>
            </w:r>
          </w:p>
          <w:p w:rsidR="00562C4F" w:rsidRDefault="00833896" w:rsidP="00562C4F">
            <w:pPr>
              <w:pStyle w:val="Odlomakpopisa"/>
              <w:ind w:left="0"/>
            </w:pPr>
            <w:r>
              <w:t>2024</w:t>
            </w:r>
          </w:p>
        </w:tc>
        <w:tc>
          <w:tcPr>
            <w:tcW w:w="1134" w:type="dxa"/>
          </w:tcPr>
          <w:p w:rsidR="00562C4F" w:rsidRDefault="00562C4F" w:rsidP="00562C4F">
            <w:pPr>
              <w:pStyle w:val="Odlomakpopisa"/>
              <w:ind w:left="0"/>
            </w:pPr>
            <w:r>
              <w:t>Rashodi</w:t>
            </w:r>
          </w:p>
          <w:p w:rsidR="00562C4F" w:rsidRDefault="00833896" w:rsidP="00562C4F">
            <w:pPr>
              <w:pStyle w:val="Odlomakpopisa"/>
              <w:ind w:left="0"/>
            </w:pPr>
            <w:r>
              <w:t>2024</w:t>
            </w:r>
            <w:r w:rsidR="00562C4F">
              <w:t>.</w:t>
            </w:r>
          </w:p>
        </w:tc>
        <w:tc>
          <w:tcPr>
            <w:tcW w:w="1308" w:type="dxa"/>
          </w:tcPr>
          <w:p w:rsidR="00562C4F" w:rsidRDefault="00562C4F" w:rsidP="00562C4F">
            <w:pPr>
              <w:pStyle w:val="Odlomakpopisa"/>
              <w:ind w:left="0"/>
            </w:pPr>
            <w:r>
              <w:t>Prihodi</w:t>
            </w:r>
          </w:p>
          <w:p w:rsidR="00562C4F" w:rsidRDefault="00833896" w:rsidP="00562C4F">
            <w:pPr>
              <w:pStyle w:val="Odlomakpopisa"/>
              <w:ind w:left="0"/>
            </w:pPr>
            <w:r>
              <w:t>2025</w:t>
            </w:r>
            <w:r w:rsidR="00562C4F">
              <w:t>.</w:t>
            </w:r>
          </w:p>
        </w:tc>
        <w:tc>
          <w:tcPr>
            <w:tcW w:w="1102" w:type="dxa"/>
          </w:tcPr>
          <w:p w:rsidR="00562C4F" w:rsidRDefault="00562C4F" w:rsidP="00562C4F">
            <w:pPr>
              <w:pStyle w:val="Odlomakpopisa"/>
              <w:ind w:left="0"/>
            </w:pPr>
            <w:r>
              <w:t>Rashodi</w:t>
            </w:r>
          </w:p>
          <w:p w:rsidR="00562C4F" w:rsidRDefault="00833896" w:rsidP="00562C4F">
            <w:pPr>
              <w:pStyle w:val="Odlomakpopisa"/>
              <w:ind w:left="0"/>
            </w:pPr>
            <w:r>
              <w:t>2025</w:t>
            </w:r>
          </w:p>
        </w:tc>
        <w:tc>
          <w:tcPr>
            <w:tcW w:w="1417" w:type="dxa"/>
          </w:tcPr>
          <w:p w:rsidR="00562C4F" w:rsidRPr="00562C4F" w:rsidRDefault="00562C4F" w:rsidP="00562C4F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Ukupna vrijednost</w:t>
            </w:r>
            <w:r w:rsidR="00F91657">
              <w:rPr>
                <w:sz w:val="20"/>
                <w:szCs w:val="20"/>
              </w:rPr>
              <w:t xml:space="preserve"> projekta</w:t>
            </w:r>
          </w:p>
        </w:tc>
        <w:tc>
          <w:tcPr>
            <w:tcW w:w="1134" w:type="dxa"/>
          </w:tcPr>
          <w:p w:rsidR="00562C4F" w:rsidRDefault="00562C4F" w:rsidP="00562C4F">
            <w:pPr>
              <w:pStyle w:val="Odlomakpopisa"/>
              <w:ind w:left="0"/>
            </w:pPr>
          </w:p>
        </w:tc>
      </w:tr>
      <w:tr w:rsidR="00833896" w:rsidTr="00916424">
        <w:tc>
          <w:tcPr>
            <w:tcW w:w="1260" w:type="dxa"/>
          </w:tcPr>
          <w:p w:rsidR="00833896" w:rsidRDefault="00833896" w:rsidP="00562C4F">
            <w:pPr>
              <w:pStyle w:val="Odlomakpopisa"/>
              <w:ind w:left="0"/>
            </w:pPr>
            <w:r>
              <w:t>Projekt školska shema 24/25</w:t>
            </w:r>
          </w:p>
        </w:tc>
        <w:tc>
          <w:tcPr>
            <w:tcW w:w="1134" w:type="dxa"/>
          </w:tcPr>
          <w:p w:rsidR="00833896" w:rsidRPr="00562C4F" w:rsidRDefault="00833896" w:rsidP="00562C4F">
            <w:pPr>
              <w:pStyle w:val="Odlomakpopisa"/>
              <w:ind w:left="0"/>
              <w:rPr>
                <w:sz w:val="20"/>
                <w:szCs w:val="20"/>
              </w:rPr>
            </w:pPr>
            <w:r>
              <w:t>923,64</w:t>
            </w:r>
          </w:p>
        </w:tc>
        <w:tc>
          <w:tcPr>
            <w:tcW w:w="1134" w:type="dxa"/>
          </w:tcPr>
          <w:p w:rsidR="00833896" w:rsidRPr="00562C4F" w:rsidRDefault="00833896" w:rsidP="00562C4F">
            <w:pPr>
              <w:pStyle w:val="Odlomakpopisa"/>
              <w:ind w:left="0"/>
              <w:rPr>
                <w:sz w:val="20"/>
                <w:szCs w:val="20"/>
              </w:rPr>
            </w:pPr>
            <w:r>
              <w:t>1.057,35</w:t>
            </w:r>
          </w:p>
        </w:tc>
        <w:tc>
          <w:tcPr>
            <w:tcW w:w="1308" w:type="dxa"/>
          </w:tcPr>
          <w:p w:rsidR="00833896" w:rsidRPr="00562C4F" w:rsidRDefault="00833896" w:rsidP="00562C4F">
            <w:pPr>
              <w:pStyle w:val="Odlomakpopisa"/>
              <w:ind w:left="0"/>
              <w:rPr>
                <w:sz w:val="20"/>
                <w:szCs w:val="20"/>
              </w:rPr>
            </w:pPr>
            <w:r>
              <w:t>2.761,37</w:t>
            </w:r>
          </w:p>
        </w:tc>
        <w:tc>
          <w:tcPr>
            <w:tcW w:w="1102" w:type="dxa"/>
          </w:tcPr>
          <w:p w:rsidR="00833896" w:rsidRPr="00562C4F" w:rsidRDefault="00833896" w:rsidP="00562C4F">
            <w:pPr>
              <w:pStyle w:val="Odlomakpopisa"/>
              <w:ind w:left="0"/>
              <w:rPr>
                <w:sz w:val="20"/>
                <w:szCs w:val="20"/>
              </w:rPr>
            </w:pPr>
            <w:r>
              <w:t>2.578,55</w:t>
            </w:r>
          </w:p>
        </w:tc>
        <w:tc>
          <w:tcPr>
            <w:tcW w:w="1417" w:type="dxa"/>
          </w:tcPr>
          <w:p w:rsidR="00833896" w:rsidRDefault="00833896" w:rsidP="00562C4F">
            <w:pPr>
              <w:pStyle w:val="Odlomakpopisa"/>
              <w:ind w:left="0"/>
            </w:pPr>
            <w:r>
              <w:t>3.635,90</w:t>
            </w:r>
          </w:p>
        </w:tc>
        <w:tc>
          <w:tcPr>
            <w:tcW w:w="1134" w:type="dxa"/>
          </w:tcPr>
          <w:p w:rsidR="00833896" w:rsidRDefault="00977387" w:rsidP="00562C4F">
            <w:pPr>
              <w:pStyle w:val="Odlomakpopisa"/>
              <w:ind w:left="0"/>
            </w:pPr>
            <w:r>
              <w:t>Potraživanje na dan 30</w:t>
            </w:r>
            <w:r w:rsidR="00833896">
              <w:t>.06.2025. za isporuke za 05/2025. iznosi 284,28 eura.</w:t>
            </w:r>
          </w:p>
        </w:tc>
      </w:tr>
      <w:tr w:rsidR="00833896" w:rsidTr="00916424">
        <w:tc>
          <w:tcPr>
            <w:tcW w:w="1260" w:type="dxa"/>
          </w:tcPr>
          <w:p w:rsidR="00833896" w:rsidRDefault="00833896" w:rsidP="00562C4F">
            <w:pPr>
              <w:pStyle w:val="Odlomakpopisa"/>
              <w:ind w:left="0"/>
            </w:pPr>
          </w:p>
        </w:tc>
        <w:tc>
          <w:tcPr>
            <w:tcW w:w="1134" w:type="dxa"/>
          </w:tcPr>
          <w:p w:rsidR="00833896" w:rsidRDefault="00833896" w:rsidP="00562C4F">
            <w:pPr>
              <w:pStyle w:val="Odlomakpopisa"/>
              <w:ind w:left="0"/>
            </w:pPr>
          </w:p>
        </w:tc>
        <w:tc>
          <w:tcPr>
            <w:tcW w:w="1134" w:type="dxa"/>
          </w:tcPr>
          <w:p w:rsidR="00833896" w:rsidRDefault="00833896" w:rsidP="00562C4F">
            <w:pPr>
              <w:pStyle w:val="Odlomakpopisa"/>
              <w:ind w:left="0"/>
            </w:pPr>
          </w:p>
        </w:tc>
        <w:tc>
          <w:tcPr>
            <w:tcW w:w="1308" w:type="dxa"/>
          </w:tcPr>
          <w:p w:rsidR="00833896" w:rsidRDefault="00833896" w:rsidP="00562C4F">
            <w:pPr>
              <w:pStyle w:val="Odlomakpopisa"/>
              <w:ind w:left="0"/>
            </w:pPr>
          </w:p>
        </w:tc>
        <w:tc>
          <w:tcPr>
            <w:tcW w:w="1102" w:type="dxa"/>
          </w:tcPr>
          <w:p w:rsidR="00833896" w:rsidRDefault="00833896" w:rsidP="00562C4F">
            <w:pPr>
              <w:pStyle w:val="Odlomakpopisa"/>
              <w:ind w:left="0"/>
            </w:pPr>
          </w:p>
        </w:tc>
        <w:tc>
          <w:tcPr>
            <w:tcW w:w="1417" w:type="dxa"/>
          </w:tcPr>
          <w:p w:rsidR="00833896" w:rsidRDefault="00833896" w:rsidP="00562C4F">
            <w:pPr>
              <w:pStyle w:val="Odlomakpopisa"/>
              <w:ind w:left="0"/>
            </w:pPr>
          </w:p>
        </w:tc>
        <w:tc>
          <w:tcPr>
            <w:tcW w:w="1134" w:type="dxa"/>
          </w:tcPr>
          <w:p w:rsidR="00833896" w:rsidRDefault="00833896" w:rsidP="00562C4F">
            <w:pPr>
              <w:pStyle w:val="Odlomakpopisa"/>
              <w:ind w:left="0"/>
            </w:pPr>
          </w:p>
        </w:tc>
      </w:tr>
      <w:tr w:rsidR="00833896" w:rsidTr="00916424">
        <w:tc>
          <w:tcPr>
            <w:tcW w:w="1260" w:type="dxa"/>
          </w:tcPr>
          <w:p w:rsidR="00833896" w:rsidRDefault="00833896" w:rsidP="00562C4F">
            <w:pPr>
              <w:pStyle w:val="Odlomakpopisa"/>
              <w:ind w:left="0"/>
            </w:pPr>
          </w:p>
        </w:tc>
        <w:tc>
          <w:tcPr>
            <w:tcW w:w="1134" w:type="dxa"/>
          </w:tcPr>
          <w:p w:rsidR="00833896" w:rsidRDefault="00833896" w:rsidP="00562C4F">
            <w:pPr>
              <w:pStyle w:val="Odlomakpopisa"/>
              <w:ind w:left="0"/>
            </w:pPr>
          </w:p>
        </w:tc>
        <w:tc>
          <w:tcPr>
            <w:tcW w:w="1134" w:type="dxa"/>
          </w:tcPr>
          <w:p w:rsidR="00833896" w:rsidRDefault="00833896" w:rsidP="00562C4F">
            <w:pPr>
              <w:pStyle w:val="Odlomakpopisa"/>
              <w:ind w:left="0"/>
            </w:pPr>
          </w:p>
        </w:tc>
        <w:tc>
          <w:tcPr>
            <w:tcW w:w="1308" w:type="dxa"/>
          </w:tcPr>
          <w:p w:rsidR="00833896" w:rsidRDefault="00833896" w:rsidP="00562C4F">
            <w:pPr>
              <w:pStyle w:val="Odlomakpopisa"/>
              <w:ind w:left="0"/>
            </w:pPr>
          </w:p>
        </w:tc>
        <w:tc>
          <w:tcPr>
            <w:tcW w:w="1102" w:type="dxa"/>
          </w:tcPr>
          <w:p w:rsidR="00833896" w:rsidRDefault="00833896" w:rsidP="00833896">
            <w:pPr>
              <w:pStyle w:val="Odlomakpopisa"/>
              <w:ind w:left="0"/>
            </w:pPr>
          </w:p>
        </w:tc>
        <w:tc>
          <w:tcPr>
            <w:tcW w:w="1417" w:type="dxa"/>
          </w:tcPr>
          <w:p w:rsidR="00833896" w:rsidRDefault="00833896" w:rsidP="00562C4F">
            <w:pPr>
              <w:pStyle w:val="Odlomakpopisa"/>
              <w:ind w:left="0"/>
            </w:pPr>
          </w:p>
        </w:tc>
        <w:tc>
          <w:tcPr>
            <w:tcW w:w="1134" w:type="dxa"/>
          </w:tcPr>
          <w:p w:rsidR="00833896" w:rsidRDefault="00833896" w:rsidP="00562C4F">
            <w:pPr>
              <w:pStyle w:val="Odlomakpopisa"/>
              <w:ind w:left="0"/>
            </w:pPr>
          </w:p>
        </w:tc>
      </w:tr>
    </w:tbl>
    <w:p w:rsidR="00587A1E" w:rsidRDefault="00587A1E" w:rsidP="00587A1E">
      <w:pPr>
        <w:pStyle w:val="Odlomakpopisa"/>
      </w:pPr>
    </w:p>
    <w:p w:rsidR="00397C79" w:rsidRDefault="00397C79" w:rsidP="00397C79">
      <w:pPr>
        <w:pStyle w:val="Odlomakpopisa"/>
        <w:numPr>
          <w:ilvl w:val="0"/>
          <w:numId w:val="6"/>
        </w:numPr>
        <w:rPr>
          <w:b/>
        </w:rPr>
      </w:pPr>
      <w:r w:rsidRPr="00397C79">
        <w:rPr>
          <w:b/>
        </w:rPr>
        <w:t>Škola nije davala zajmove te nema ni potraživanja za dane zajmove</w:t>
      </w:r>
    </w:p>
    <w:p w:rsidR="00397C79" w:rsidRDefault="00397C79" w:rsidP="00397C79">
      <w:pPr>
        <w:rPr>
          <w:b/>
        </w:rPr>
      </w:pPr>
    </w:p>
    <w:p w:rsidR="00397C79" w:rsidRDefault="00397C79" w:rsidP="00397C79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Izvještaj o stanju potraživanja i dospjelih obveza te o</w:t>
      </w:r>
      <w:r w:rsidR="00DA6404">
        <w:rPr>
          <w:b/>
        </w:rPr>
        <w:t xml:space="preserve"> </w:t>
      </w:r>
      <w:r>
        <w:rPr>
          <w:b/>
        </w:rPr>
        <w:t>stanju potencijalnih obveza po osnovi sudskih sporova</w:t>
      </w:r>
    </w:p>
    <w:p w:rsidR="006377E3" w:rsidRPr="006377E3" w:rsidRDefault="006377E3" w:rsidP="006377E3">
      <w:pPr>
        <w:rPr>
          <w:b/>
        </w:rPr>
      </w:pPr>
    </w:p>
    <w:p w:rsidR="00C37371" w:rsidRPr="00C37371" w:rsidRDefault="00DA6404" w:rsidP="00DA6404">
      <w:pPr>
        <w:pStyle w:val="Odlomakpopisa"/>
        <w:numPr>
          <w:ilvl w:val="1"/>
          <w:numId w:val="6"/>
        </w:numPr>
        <w:rPr>
          <w:b/>
        </w:rPr>
      </w:pPr>
      <w:r>
        <w:rPr>
          <w:b/>
        </w:rPr>
        <w:t>Stanje potraživanja</w:t>
      </w:r>
    </w:p>
    <w:p w:rsidR="00C37371" w:rsidRDefault="00C37371" w:rsidP="00C37371">
      <w:pPr>
        <w:ind w:left="720"/>
      </w:pPr>
      <w:r>
        <w:t xml:space="preserve">Ukupno </w:t>
      </w:r>
      <w:r w:rsidR="00270E6C">
        <w:t>potraživanje na dan 30.06.2025</w:t>
      </w:r>
      <w:r>
        <w:t xml:space="preserve"> godine  5.120,94 eura a sastoji se od:</w:t>
      </w:r>
    </w:p>
    <w:p w:rsidR="00C37371" w:rsidRDefault="00C37371" w:rsidP="00CE1083">
      <w:pPr>
        <w:pStyle w:val="Odlomakpopisa"/>
        <w:numPr>
          <w:ilvl w:val="0"/>
          <w:numId w:val="8"/>
        </w:numPr>
      </w:pPr>
      <w:r>
        <w:t>Potraživanje za bol</w:t>
      </w:r>
      <w:r w:rsidR="00CE1083">
        <w:t>ovanje na teret HZZO-a  9.629,80</w:t>
      </w:r>
    </w:p>
    <w:p w:rsidR="00C37371" w:rsidRDefault="00C37371" w:rsidP="00C37371">
      <w:pPr>
        <w:pStyle w:val="Odlomakpopisa"/>
        <w:numPr>
          <w:ilvl w:val="0"/>
          <w:numId w:val="8"/>
        </w:numPr>
      </w:pPr>
      <w:r>
        <w:t>P</w:t>
      </w:r>
      <w:r w:rsidR="00CE1083">
        <w:t>otraživanja za predujmove                              335,25</w:t>
      </w:r>
    </w:p>
    <w:p w:rsidR="00C37371" w:rsidRDefault="00C37371" w:rsidP="00C37371">
      <w:pPr>
        <w:pStyle w:val="Odlomakpopisa"/>
        <w:numPr>
          <w:ilvl w:val="0"/>
          <w:numId w:val="8"/>
        </w:numPr>
      </w:pPr>
      <w:r>
        <w:t xml:space="preserve">Potraživanja od roditelja                                </w:t>
      </w:r>
      <w:r w:rsidR="00CE1083">
        <w:t xml:space="preserve"> 4.511,68</w:t>
      </w:r>
    </w:p>
    <w:p w:rsidR="008B5641" w:rsidRDefault="008B5641" w:rsidP="00C37371">
      <w:pPr>
        <w:pStyle w:val="Odlomakpopisa"/>
        <w:numPr>
          <w:ilvl w:val="0"/>
          <w:numId w:val="8"/>
        </w:numPr>
      </w:pPr>
      <w:r>
        <w:t>Potraživanje za tekuće pomoći</w:t>
      </w:r>
    </w:p>
    <w:p w:rsidR="008B5641" w:rsidRDefault="008B5641" w:rsidP="008B5641">
      <w:pPr>
        <w:pStyle w:val="Odlomakpopisa"/>
        <w:ind w:left="1440"/>
      </w:pPr>
      <w:r>
        <w:t xml:space="preserve"> proračunskim korisnicima iz državnog </w:t>
      </w:r>
      <w:proofErr w:type="spellStart"/>
      <w:r>
        <w:t>pror</w:t>
      </w:r>
      <w:proofErr w:type="spellEnd"/>
      <w:r>
        <w:t>.  108.299,82</w:t>
      </w:r>
    </w:p>
    <w:p w:rsidR="00C37371" w:rsidRDefault="00C37371" w:rsidP="00C37371">
      <w:pPr>
        <w:pStyle w:val="Odlomakpopisa"/>
        <w:numPr>
          <w:ilvl w:val="0"/>
          <w:numId w:val="8"/>
        </w:numPr>
      </w:pPr>
      <w:r>
        <w:t>Potraživa</w:t>
      </w:r>
      <w:r w:rsidR="00CE1083">
        <w:t xml:space="preserve">nje za školsku shemu za               </w:t>
      </w:r>
      <w:r>
        <w:t xml:space="preserve">      </w:t>
      </w:r>
      <w:r w:rsidR="008B5641">
        <w:t xml:space="preserve">     </w:t>
      </w:r>
      <w:r w:rsidR="00CE1083">
        <w:t>279,82</w:t>
      </w:r>
    </w:p>
    <w:p w:rsidR="00C37371" w:rsidRDefault="00C37371" w:rsidP="00C37371">
      <w:pPr>
        <w:pStyle w:val="Odlomakpopisa"/>
        <w:numPr>
          <w:ilvl w:val="0"/>
          <w:numId w:val="8"/>
        </w:numPr>
      </w:pPr>
      <w:r>
        <w:t xml:space="preserve">Računi za proizvode i pružene usluge            </w:t>
      </w:r>
      <w:r w:rsidR="008B5641">
        <w:t xml:space="preserve">     </w:t>
      </w:r>
      <w:r>
        <w:t xml:space="preserve">   </w:t>
      </w:r>
      <w:r w:rsidR="00CE1083">
        <w:t>176,70</w:t>
      </w:r>
    </w:p>
    <w:p w:rsidR="00DA6404" w:rsidRDefault="00DA6404" w:rsidP="00DA6404">
      <w:pPr>
        <w:pStyle w:val="Odlomakpopisa"/>
        <w:numPr>
          <w:ilvl w:val="0"/>
          <w:numId w:val="8"/>
        </w:numPr>
      </w:pPr>
      <w:r>
        <w:t xml:space="preserve">Ispravak vrijednosti potraživanja                 </w:t>
      </w:r>
      <w:r w:rsidR="008B5641">
        <w:t xml:space="preserve">     </w:t>
      </w:r>
      <w:r w:rsidR="00977387">
        <w:t xml:space="preserve"> </w:t>
      </w:r>
      <w:r>
        <w:t xml:space="preserve">   -513,79</w:t>
      </w:r>
    </w:p>
    <w:p w:rsidR="00D918AF" w:rsidRDefault="00D918AF" w:rsidP="00D918AF"/>
    <w:p w:rsidR="00DA6404" w:rsidRDefault="00DA6404" w:rsidP="00DA6404">
      <w:r>
        <w:t>Dospjela potraživanja su potraživanja od roditelja</w:t>
      </w:r>
      <w:r w:rsidR="0092487D">
        <w:t xml:space="preserve"> za produženi boravak</w:t>
      </w:r>
      <w:r>
        <w:t xml:space="preserve"> iz tekuće šk</w:t>
      </w:r>
      <w:r w:rsidR="0092487D">
        <w:t xml:space="preserve">olske godine u iznosu od 2.405,28 </w:t>
      </w:r>
      <w:r>
        <w:t>eura, a iz prijašnjih godina za učenike koji nisu više polaznici III. osnovne škole potraživanja  iznose 513,79 eura i za njih je napravljen ispravak vrijednosti.</w:t>
      </w:r>
    </w:p>
    <w:p w:rsidR="0092487D" w:rsidRDefault="0092487D" w:rsidP="00DA6404">
      <w:r>
        <w:t>Dospjela potraživanja  za iznajmljivanje dvorane i prehranu djelatnika iznose 110,70 eura</w:t>
      </w:r>
    </w:p>
    <w:p w:rsidR="005B1E80" w:rsidRDefault="005B1E80" w:rsidP="00DA6404"/>
    <w:p w:rsidR="005B1E80" w:rsidRDefault="005B1E80" w:rsidP="00DA6404"/>
    <w:p w:rsidR="005B1E80" w:rsidRDefault="005B1E80" w:rsidP="00DA6404"/>
    <w:p w:rsidR="00D918AF" w:rsidRDefault="00D918AF" w:rsidP="00DA6404"/>
    <w:p w:rsidR="00DA6404" w:rsidRDefault="00DA6404" w:rsidP="00DA6404">
      <w:pPr>
        <w:pStyle w:val="Odlomakpopisa"/>
        <w:numPr>
          <w:ilvl w:val="1"/>
          <w:numId w:val="6"/>
        </w:numPr>
        <w:rPr>
          <w:b/>
        </w:rPr>
      </w:pPr>
      <w:r w:rsidRPr="00DA6404">
        <w:rPr>
          <w:b/>
        </w:rPr>
        <w:t xml:space="preserve"> Stanje dospjelih obveza</w:t>
      </w:r>
    </w:p>
    <w:p w:rsidR="0085409B" w:rsidRDefault="0085409B" w:rsidP="007F5939">
      <w:pPr>
        <w:pStyle w:val="Odlomakpopisa"/>
        <w:ind w:left="1068"/>
        <w:rPr>
          <w:b/>
        </w:rPr>
      </w:pPr>
    </w:p>
    <w:p w:rsidR="00DA6404" w:rsidRDefault="00DA6404" w:rsidP="00DA6404">
      <w:r w:rsidRPr="00DA6404">
        <w:t>Iznos stanja dospjelih obveza na dan</w:t>
      </w:r>
      <w:r>
        <w:t xml:space="preserve"> </w:t>
      </w:r>
      <w:r w:rsidR="00226BA7">
        <w:t>30.06.2025. je 419,60 . Iznos se odnosi na naknadu za uređenje voda koju je trebalo podmiriti do 15. 06. 2025. Zbog nedostatka sredstava na računu, a imali smo obaveze prema dobavljačima, obaveza je podmirena početkom mjeseca srpnja jer nam je 30. 06. 2025. doznačio sredstva za materijalne rashode</w:t>
      </w:r>
      <w:r w:rsidR="0092487D">
        <w:t xml:space="preserve"> za 06/2025.</w:t>
      </w:r>
      <w:r w:rsidR="00226BA7">
        <w:t>.</w:t>
      </w:r>
    </w:p>
    <w:p w:rsidR="00D918AF" w:rsidRDefault="00D918AF" w:rsidP="00DA6404"/>
    <w:p w:rsidR="00E31561" w:rsidRPr="00762A13" w:rsidRDefault="00DA6404" w:rsidP="00762A13">
      <w:pPr>
        <w:pStyle w:val="Odlomakpopisa"/>
        <w:numPr>
          <w:ilvl w:val="1"/>
          <w:numId w:val="6"/>
        </w:numPr>
        <w:rPr>
          <w:b/>
        </w:rPr>
      </w:pPr>
      <w:r w:rsidRPr="00762A13">
        <w:rPr>
          <w:b/>
        </w:rPr>
        <w:t xml:space="preserve">Stanje potencijalnih </w:t>
      </w:r>
      <w:r w:rsidR="00997F69" w:rsidRPr="00762A13">
        <w:rPr>
          <w:b/>
        </w:rPr>
        <w:t>obveza po osnovi sudskih sporova</w:t>
      </w:r>
      <w:r w:rsidR="0085409B" w:rsidRPr="00762A13">
        <w:rPr>
          <w:b/>
        </w:rPr>
        <w:t xml:space="preserve"> -</w:t>
      </w:r>
      <w:r w:rsidR="00997F69" w:rsidRPr="00762A13">
        <w:rPr>
          <w:b/>
        </w:rPr>
        <w:t xml:space="preserve"> </w:t>
      </w:r>
      <w:r w:rsidR="00997F69">
        <w:t>n</w:t>
      </w:r>
      <w:r w:rsidR="00226BA7">
        <w:t>a dan 30.06.2025.</w:t>
      </w:r>
      <w:r w:rsidR="00E31561" w:rsidRPr="00E31561">
        <w:t xml:space="preserve"> Škola nema potencijalnih obveza po sudskim sporovima</w:t>
      </w:r>
      <w:r w:rsidR="00E31561" w:rsidRPr="00762A13">
        <w:rPr>
          <w:b/>
        </w:rPr>
        <w:t>.</w:t>
      </w:r>
    </w:p>
    <w:p w:rsidR="00762A13" w:rsidRPr="00762A13" w:rsidRDefault="00762A13" w:rsidP="00762A13">
      <w:pPr>
        <w:pStyle w:val="Odlomakpopisa"/>
        <w:ind w:left="1068"/>
        <w:rPr>
          <w:b/>
        </w:rPr>
      </w:pPr>
    </w:p>
    <w:p w:rsidR="00D918AF" w:rsidRPr="00997F69" w:rsidRDefault="00D918AF" w:rsidP="00997F69">
      <w:pPr>
        <w:rPr>
          <w:b/>
        </w:rPr>
      </w:pPr>
    </w:p>
    <w:p w:rsidR="00A341BC" w:rsidRDefault="00A341BC" w:rsidP="00A37C89">
      <w:r>
        <w:t xml:space="preserve">                                                                                   </w:t>
      </w:r>
      <w:r w:rsidR="005B1E80">
        <w:t xml:space="preserve">   </w:t>
      </w:r>
      <w:r>
        <w:t xml:space="preserve">  Ravnateljica škole:</w:t>
      </w:r>
    </w:p>
    <w:p w:rsidR="00A341BC" w:rsidRDefault="00A341BC" w:rsidP="00A37C89">
      <w:r>
        <w:t xml:space="preserve">                                                                                        Nataša Novak</w:t>
      </w:r>
      <w:r w:rsidR="005B1E80">
        <w:t xml:space="preserve">, </w:t>
      </w:r>
      <w:proofErr w:type="spellStart"/>
      <w:r w:rsidR="005B1E80">
        <w:t>mag</w:t>
      </w:r>
      <w:proofErr w:type="spellEnd"/>
      <w:r w:rsidR="005B1E80">
        <w:t xml:space="preserve">. </w:t>
      </w:r>
      <w:proofErr w:type="spellStart"/>
      <w:r w:rsidR="005B1E80">
        <w:t>prim.educ</w:t>
      </w:r>
      <w:proofErr w:type="spellEnd"/>
      <w:r w:rsidR="005B1E80">
        <w:t>.</w:t>
      </w:r>
    </w:p>
    <w:p w:rsidR="00A341BC" w:rsidRDefault="00A341BC" w:rsidP="00A37C89"/>
    <w:p w:rsidR="00A37C89" w:rsidRDefault="00A37C89" w:rsidP="00A37C89"/>
    <w:p w:rsidR="00A37C89" w:rsidRDefault="00A37C89" w:rsidP="00A37C89"/>
    <w:p w:rsidR="00A37C89" w:rsidRDefault="00A37C89" w:rsidP="00A37C89"/>
    <w:p w:rsidR="00A37C89" w:rsidRDefault="00A37C89" w:rsidP="00A37C89"/>
    <w:p w:rsidR="00A37C89" w:rsidRDefault="00A37C89" w:rsidP="00A37C89"/>
    <w:p w:rsidR="00A37C89" w:rsidRDefault="00A37C89" w:rsidP="00A37C89"/>
    <w:p w:rsidR="00A37C89" w:rsidRPr="00A37C89" w:rsidRDefault="00A37C89" w:rsidP="00A37C89"/>
    <w:sectPr w:rsidR="00A37C89" w:rsidRPr="00A3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0222"/>
    <w:multiLevelType w:val="hybridMultilevel"/>
    <w:tmpl w:val="EF3E9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5FE5"/>
    <w:multiLevelType w:val="hybridMultilevel"/>
    <w:tmpl w:val="F6E20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E7322"/>
    <w:multiLevelType w:val="hybridMultilevel"/>
    <w:tmpl w:val="F0EC3F1C"/>
    <w:lvl w:ilvl="0" w:tplc="911EB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C57096"/>
    <w:multiLevelType w:val="hybridMultilevel"/>
    <w:tmpl w:val="066C9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25232"/>
    <w:multiLevelType w:val="multilevel"/>
    <w:tmpl w:val="43E0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A313B6E"/>
    <w:multiLevelType w:val="hybridMultilevel"/>
    <w:tmpl w:val="E684E130"/>
    <w:lvl w:ilvl="0" w:tplc="C0B46534">
      <w:start w:val="2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03B653E"/>
    <w:multiLevelType w:val="hybridMultilevel"/>
    <w:tmpl w:val="09DE01FC"/>
    <w:lvl w:ilvl="0" w:tplc="5488645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136E65"/>
    <w:multiLevelType w:val="hybridMultilevel"/>
    <w:tmpl w:val="74AEB79C"/>
    <w:lvl w:ilvl="0" w:tplc="5E566B6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09532E"/>
    <w:multiLevelType w:val="hybridMultilevel"/>
    <w:tmpl w:val="FD86876A"/>
    <w:lvl w:ilvl="0" w:tplc="7CD469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2A7B8E"/>
    <w:multiLevelType w:val="hybridMultilevel"/>
    <w:tmpl w:val="586A5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53CB6"/>
    <w:multiLevelType w:val="hybridMultilevel"/>
    <w:tmpl w:val="1652B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6535F"/>
    <w:multiLevelType w:val="hybridMultilevel"/>
    <w:tmpl w:val="958C8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71166"/>
    <w:multiLevelType w:val="hybridMultilevel"/>
    <w:tmpl w:val="6364651C"/>
    <w:lvl w:ilvl="0" w:tplc="985EDADA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DCF37D3"/>
    <w:multiLevelType w:val="hybridMultilevel"/>
    <w:tmpl w:val="2F24FE12"/>
    <w:lvl w:ilvl="0" w:tplc="041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DF"/>
    <w:rsid w:val="00043E78"/>
    <w:rsid w:val="00047CAD"/>
    <w:rsid w:val="00077AC7"/>
    <w:rsid w:val="000939A6"/>
    <w:rsid w:val="000A69B8"/>
    <w:rsid w:val="000C1267"/>
    <w:rsid w:val="000F6492"/>
    <w:rsid w:val="00121E1C"/>
    <w:rsid w:val="00132D09"/>
    <w:rsid w:val="001501FF"/>
    <w:rsid w:val="00183169"/>
    <w:rsid w:val="001A2583"/>
    <w:rsid w:val="001E2624"/>
    <w:rsid w:val="001E35FF"/>
    <w:rsid w:val="001E6100"/>
    <w:rsid w:val="00226BA7"/>
    <w:rsid w:val="0024149C"/>
    <w:rsid w:val="00270E6C"/>
    <w:rsid w:val="002929AF"/>
    <w:rsid w:val="00297D32"/>
    <w:rsid w:val="002E390B"/>
    <w:rsid w:val="00323822"/>
    <w:rsid w:val="00330EDC"/>
    <w:rsid w:val="003343AC"/>
    <w:rsid w:val="003479D0"/>
    <w:rsid w:val="00347AD4"/>
    <w:rsid w:val="0036108E"/>
    <w:rsid w:val="00385279"/>
    <w:rsid w:val="00392F3C"/>
    <w:rsid w:val="00397C79"/>
    <w:rsid w:val="00397DB2"/>
    <w:rsid w:val="003A5D49"/>
    <w:rsid w:val="003A77DF"/>
    <w:rsid w:val="003C0A9E"/>
    <w:rsid w:val="003C45D4"/>
    <w:rsid w:val="003F5705"/>
    <w:rsid w:val="00466280"/>
    <w:rsid w:val="004669C2"/>
    <w:rsid w:val="00484AD4"/>
    <w:rsid w:val="00496556"/>
    <w:rsid w:val="004A36B2"/>
    <w:rsid w:val="004D67A5"/>
    <w:rsid w:val="00505AC6"/>
    <w:rsid w:val="005512B7"/>
    <w:rsid w:val="00562C4F"/>
    <w:rsid w:val="00571180"/>
    <w:rsid w:val="00571B06"/>
    <w:rsid w:val="00587A1E"/>
    <w:rsid w:val="005927A6"/>
    <w:rsid w:val="005B1E80"/>
    <w:rsid w:val="005C20DE"/>
    <w:rsid w:val="006377E3"/>
    <w:rsid w:val="006504CD"/>
    <w:rsid w:val="00674A2B"/>
    <w:rsid w:val="006C32A8"/>
    <w:rsid w:val="006D18F3"/>
    <w:rsid w:val="006D7596"/>
    <w:rsid w:val="00704258"/>
    <w:rsid w:val="00743945"/>
    <w:rsid w:val="00760088"/>
    <w:rsid w:val="00762A13"/>
    <w:rsid w:val="007713B1"/>
    <w:rsid w:val="00776F35"/>
    <w:rsid w:val="00782C3E"/>
    <w:rsid w:val="00784B67"/>
    <w:rsid w:val="00785404"/>
    <w:rsid w:val="00794A6F"/>
    <w:rsid w:val="007A11BD"/>
    <w:rsid w:val="007F5939"/>
    <w:rsid w:val="00833896"/>
    <w:rsid w:val="00846267"/>
    <w:rsid w:val="0085409B"/>
    <w:rsid w:val="00856D24"/>
    <w:rsid w:val="00877885"/>
    <w:rsid w:val="008A6530"/>
    <w:rsid w:val="008B5641"/>
    <w:rsid w:val="008B62F1"/>
    <w:rsid w:val="008B6FCC"/>
    <w:rsid w:val="008C7218"/>
    <w:rsid w:val="008E1834"/>
    <w:rsid w:val="008F23B3"/>
    <w:rsid w:val="008F6EA0"/>
    <w:rsid w:val="00910328"/>
    <w:rsid w:val="00911C9A"/>
    <w:rsid w:val="00913CDB"/>
    <w:rsid w:val="00916424"/>
    <w:rsid w:val="00923F5F"/>
    <w:rsid w:val="0092487D"/>
    <w:rsid w:val="00940711"/>
    <w:rsid w:val="00945AFA"/>
    <w:rsid w:val="009528F4"/>
    <w:rsid w:val="00965EA4"/>
    <w:rsid w:val="00973CF2"/>
    <w:rsid w:val="00977387"/>
    <w:rsid w:val="0098415E"/>
    <w:rsid w:val="00997F69"/>
    <w:rsid w:val="009B322A"/>
    <w:rsid w:val="009B7F14"/>
    <w:rsid w:val="009C7A2F"/>
    <w:rsid w:val="009E52CE"/>
    <w:rsid w:val="009E6B45"/>
    <w:rsid w:val="009F79D9"/>
    <w:rsid w:val="00A015C6"/>
    <w:rsid w:val="00A14698"/>
    <w:rsid w:val="00A2244B"/>
    <w:rsid w:val="00A341BC"/>
    <w:rsid w:val="00A37C89"/>
    <w:rsid w:val="00A45C4B"/>
    <w:rsid w:val="00A86EAA"/>
    <w:rsid w:val="00A86ECA"/>
    <w:rsid w:val="00A9094E"/>
    <w:rsid w:val="00AA0677"/>
    <w:rsid w:val="00AD58A5"/>
    <w:rsid w:val="00AE199D"/>
    <w:rsid w:val="00AF54C9"/>
    <w:rsid w:val="00B007A8"/>
    <w:rsid w:val="00B04BD6"/>
    <w:rsid w:val="00B102F8"/>
    <w:rsid w:val="00B439A3"/>
    <w:rsid w:val="00B658B9"/>
    <w:rsid w:val="00B82F76"/>
    <w:rsid w:val="00B916DA"/>
    <w:rsid w:val="00B9186F"/>
    <w:rsid w:val="00B94048"/>
    <w:rsid w:val="00BB318A"/>
    <w:rsid w:val="00BC13D2"/>
    <w:rsid w:val="00BE5019"/>
    <w:rsid w:val="00BE787D"/>
    <w:rsid w:val="00BF4FB5"/>
    <w:rsid w:val="00C04115"/>
    <w:rsid w:val="00C17101"/>
    <w:rsid w:val="00C3678B"/>
    <w:rsid w:val="00C37371"/>
    <w:rsid w:val="00C44A53"/>
    <w:rsid w:val="00C71AC8"/>
    <w:rsid w:val="00CD6EB0"/>
    <w:rsid w:val="00CE1083"/>
    <w:rsid w:val="00D01126"/>
    <w:rsid w:val="00D1157C"/>
    <w:rsid w:val="00D126F9"/>
    <w:rsid w:val="00D21FB0"/>
    <w:rsid w:val="00D275F0"/>
    <w:rsid w:val="00D4640E"/>
    <w:rsid w:val="00D5259D"/>
    <w:rsid w:val="00D64B50"/>
    <w:rsid w:val="00D679DE"/>
    <w:rsid w:val="00D70AE6"/>
    <w:rsid w:val="00D918AF"/>
    <w:rsid w:val="00D9595D"/>
    <w:rsid w:val="00D96CC5"/>
    <w:rsid w:val="00DA6404"/>
    <w:rsid w:val="00DB55A8"/>
    <w:rsid w:val="00DB7A98"/>
    <w:rsid w:val="00DE2B1B"/>
    <w:rsid w:val="00E10F06"/>
    <w:rsid w:val="00E31561"/>
    <w:rsid w:val="00E83169"/>
    <w:rsid w:val="00ED7193"/>
    <w:rsid w:val="00EE1E51"/>
    <w:rsid w:val="00EE531F"/>
    <w:rsid w:val="00F013DA"/>
    <w:rsid w:val="00F21F36"/>
    <w:rsid w:val="00F31071"/>
    <w:rsid w:val="00F5373F"/>
    <w:rsid w:val="00F7747E"/>
    <w:rsid w:val="00F91657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41C6"/>
  <w15:chartTrackingRefBased/>
  <w15:docId w15:val="{E8C9F58A-F66F-45E7-AD9E-E3B4D0E4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6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1F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F36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58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3234D-7EA6-4A18-B737-75DBB226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13</cp:revision>
  <cp:lastPrinted>2024-03-27T07:39:00Z</cp:lastPrinted>
  <dcterms:created xsi:type="dcterms:W3CDTF">2025-07-16T07:43:00Z</dcterms:created>
  <dcterms:modified xsi:type="dcterms:W3CDTF">2025-08-01T09:12:00Z</dcterms:modified>
</cp:coreProperties>
</file>