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78ff815506449a5"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13578</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III. OSNOVNA ŠKOLA ČAKOVEC</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760.809,70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814.507,22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745.077,33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927.980,91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113.473,69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9.623,67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1.897,50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9.564,10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1.897,50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19,8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115.371,19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Škola je javna ustanova, a osnivač  škole ja  Grad Čakovec. Škola ostvaruje prihode od osnivača kao nadležnog proračuna, iz državnog proračuna,  od roditelja učenika, obavljanje vlastite djelatnosti ( najam dvorane, prodaja starog papira).  S obzirom na djelatnost škole rashodi za zaposlene iznose 86,9 % ukupnih rashoda škole.  Budući da se plaće i materijalna prava radnika  financiraju iz državnog proračuna  udio prihoda ostvarenih iz državnog proračuna u ostvarenim ukupnim prihodima iznosi 85 %.
U obračunskom razdoblju škola je ostvarila manjak prihoda i primitaka u iznosu od 115.371,19 eura , a razlog tako visokog manjka  je iskazivanje plaće za 6. mjesec 2025. u troškove obračunskog razdoblja, a prihodi će biti ostvareni u 7. mjesecu.</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623.524,54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691.928,39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111,0</w:t>
            </w:r>
          </w:p>
        </w:tc>
      </w:tr>
    </w:tbl>
    <w:p>
      <w:pPr>
        <w:spacing w:before="0" w:after="0"/>
      </w:pPr>
    </w:p>
    <w:p>
      <w:pPr>
        <w:jc w:val="both"/>
        <w:pStyle w:val="Normal"/>
        <w:spacing w:line="240" w:lineRule="auto"/>
      </w:pPr>
      <w:r>
        <w:rPr>
          <w:sz w:val="24"/>
          <w:rFonts w:ascii="Times New Roman" w:hAnsi="Times New Roman"/>
        </w:rPr>
        <w:t>Sredstva primljena iz državnog proračuna za plaće i materijalna prava zaposlenika, prehranu učenika, prijevoz  učenika s teškoćama, rad županijskih stručnih vijeća i sufinanciranje terenske nastave za učenike iz Ukrajine. Ostvareni iznos je u tekućem  obračunskom razdoblju je 11% veći u odnosu na  prethodnu godinu zbog rasta plaće u skladu s novim Zakonom o plaćama u javnim službama i rasta osnovice za obračun plaće od 1.02. 2025.</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temeljem prijenosa EU sredstava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9.860,18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2.761,37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28,0</w:t>
            </w:r>
          </w:p>
        </w:tc>
      </w:tr>
    </w:tbl>
    <w:p>
      <w:pPr>
        <w:spacing w:before="0" w:after="0"/>
      </w:pPr>
    </w:p>
    <w:p>
      <w:pPr>
        <w:jc w:val="both"/>
        <w:pStyle w:val="Normal"/>
        <w:spacing w:line="240" w:lineRule="auto"/>
      </w:pPr>
      <w:r>
        <w:rPr>
          <w:sz w:val="24"/>
          <w:rFonts w:ascii="Times New Roman" w:hAnsi="Times New Roman"/>
        </w:rPr>
        <w:t>Iskazani iznos odnosi se na sredstva primljena za školsku shemu, dio koji se financira iz  EU sredstava. Ostvareni iznos je znatno manji u odnosu na isto razdoblje prethodne godine jer smo prethodne godine ostvarili i sredstva za plaće za pomoćnike u nastavi, a u ovoj godini pomoćnici koji rade u školi  su zaposlenici Udruga,</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Tekući prijenosi između proračunskih korisnika istog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4.526,38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887,5</w:t>
            </w:r>
          </w:p>
        </w:tc>
      </w:tr>
    </w:tbl>
    <w:p>
      <w:pPr>
        <w:spacing w:before="0" w:after="0"/>
      </w:pPr>
    </w:p>
    <w:p>
      <w:pPr>
        <w:jc w:val="both"/>
        <w:pStyle w:val="Normal"/>
        <w:spacing w:line="240" w:lineRule="auto"/>
      </w:pPr>
      <w:r>
        <w:rPr>
          <w:sz w:val="24"/>
          <w:rFonts w:ascii="Times New Roman" w:hAnsi="Times New Roman"/>
        </w:rPr>
        <w:t>Iskazana sredstva se odnose na razliku sredstava za Projekte po pozivu  Grada Čakovca iz 2024. godine i sredstva koje ja  osnivač doznačio za preinaku brava na ulaznim vratima škole, te je zbog tih sredstava iznos na računa 6391 znatno veći u odnosu na isto razdoblje prethodne godine.</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redovan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521.400,13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662.921,91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127,1</w:t>
            </w:r>
          </w:p>
        </w:tc>
      </w:tr>
    </w:tbl>
    <w:p>
      <w:pPr>
        <w:spacing w:before="0" w:after="0"/>
      </w:pPr>
    </w:p>
    <w:p>
      <w:pPr>
        <w:jc w:val="both"/>
        <w:pStyle w:val="Normal"/>
        <w:spacing w:line="240" w:lineRule="auto"/>
      </w:pPr>
      <w:r>
        <w:rPr>
          <w:sz w:val="24"/>
          <w:rFonts w:ascii="Times New Roman" w:hAnsi="Times New Roman"/>
        </w:rPr>
        <w:t>Iznos rashoda za plaće za redovan rad je 27 % veći u odnosu na prethodnu godinu zbog rasta osnovice za obračun  plaća i iskazivanje  7 rashoda za plaću u tekućem obračunskom razdoblju, a u prethodnoj godini je bilo iskano 6 rashoda za plaću tijekom obračunskog razdoblja.</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prekovremeni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5.883,33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13.373,52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227,3</w:t>
            </w:r>
          </w:p>
        </w:tc>
      </w:tr>
    </w:tbl>
    <w:p>
      <w:pPr>
        <w:spacing w:before="0" w:after="0"/>
      </w:pPr>
    </w:p>
    <w:p>
      <w:pPr>
        <w:jc w:val="both"/>
        <w:pStyle w:val="Normal"/>
        <w:spacing w:line="240" w:lineRule="auto"/>
      </w:pPr>
      <w:r>
        <w:rPr>
          <w:sz w:val="24"/>
          <w:rFonts w:ascii="Times New Roman" w:hAnsi="Times New Roman"/>
        </w:rPr>
        <w:t>Iznos je znatno veći u odnosu na prethodnu godinu iz sljedećih razloga: 
1. pripremna nastava  iz hrvatskog jezika za učenicu iz Ukrajine koju je  učiteljica odradila prekovremeno 
2. na raspisani natječaj za zamjenu učiteljice iz fizike ( zamjena za bolovanje) nitko se nije javio te su učiteljice iz matematike odrađivale nastavu fizike u prekovremenom radu 
3. učitelji  koriste zakonsko pravo korištenja  dva dana godišnjeg odmora po vlastitim odabiru, a budući da je to za vrijeme nastave potrebno je angažirati zamjenu s postojećim učiteljima u prekovremenom radu</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za obvezno zdravstveno osiguranje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83.060,65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106.836,30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128,6</w:t>
            </w:r>
          </w:p>
        </w:tc>
      </w:tr>
    </w:tbl>
    <w:p>
      <w:pPr>
        <w:spacing w:before="0" w:after="0"/>
      </w:pPr>
    </w:p>
    <w:p>
      <w:pPr>
        <w:jc w:val="both"/>
        <w:pStyle w:val="Normal"/>
        <w:spacing w:line="240" w:lineRule="auto"/>
      </w:pPr>
      <w:r>
        <w:rPr>
          <w:sz w:val="24"/>
          <w:rFonts w:ascii="Times New Roman" w:hAnsi="Times New Roman"/>
        </w:rPr>
        <w:t>Iznos je veći u odnosu na prethodnu godinu zbog rasta plaća i iskazivanja 7. rashoda za plaće.</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tekućeg i investicijskog održavanja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4.974,27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8.993,01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180,8</w:t>
            </w:r>
          </w:p>
        </w:tc>
      </w:tr>
    </w:tbl>
    <w:p>
      <w:pPr>
        <w:spacing w:before="0" w:after="0"/>
      </w:pPr>
    </w:p>
    <w:p>
      <w:pPr>
        <w:jc w:val="both"/>
        <w:pStyle w:val="Normal"/>
        <w:spacing w:line="240" w:lineRule="auto"/>
      </w:pPr>
      <w:r>
        <w:rPr>
          <w:sz w:val="24"/>
          <w:rFonts w:ascii="Times New Roman" w:hAnsi="Times New Roman"/>
        </w:rPr>
        <w:t>Rashodi su veći 80 % u odnosu na isto razdoblje prethodne godine zbog preinaka brava iz sigurnosnih razloga na ulaznim vratima  u iznosu od 3.686,38 eura.</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promidžbe i informiranja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Rashod se odnosi na  trošak objave natječaja za ravnatelja/ icu škole u Narodnim novinama</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1.819,55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3.384,89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186,0</w:t>
            </w:r>
          </w:p>
        </w:tc>
      </w:tr>
    </w:tbl>
    <w:p>
      <w:pPr>
        <w:spacing w:before="0" w:after="0"/>
      </w:pPr>
    </w:p>
    <w:p>
      <w:pPr>
        <w:jc w:val="both"/>
        <w:pStyle w:val="Normal"/>
        <w:spacing w:line="240" w:lineRule="auto"/>
      </w:pPr>
      <w:r>
        <w:rPr>
          <w:sz w:val="24"/>
          <w:rFonts w:ascii="Times New Roman" w:hAnsi="Times New Roman"/>
        </w:rPr>
        <w:t>Iznos je 80 % veći u odnosu na prethodnu godinu zbog:
1.  poskupljenja naknade za postupanje s otpadom i vreća za razvrstavanje otpada
iskazivanja  troška vode u ukupnom iznosu na računu 3234 , a prethodne godine smo 30 % iznosa računa za vodu potraživali od  Centra za odgoj i obrazovanje t smo taj dio iskazivali na 12911. Od 01. 01 2025. iznos kojim  COO  sufinancira potrošnju vode iskazujemo u ostalim prihodima, a račun za vodu u ukupnom iznosu na računu 3234.
2. početkom godine smo imali puknuće cijevi za vodu koje je uzrokovalo  veći iznos troškova za vodu</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Intelektualne i osobne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1.092,53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1.798,67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164,6</w:t>
            </w:r>
          </w:p>
        </w:tc>
      </w:tr>
    </w:tbl>
    <w:p>
      <w:pPr>
        <w:spacing w:before="0" w:after="0"/>
      </w:pPr>
    </w:p>
    <w:p>
      <w:pPr>
        <w:jc w:val="both"/>
        <w:pStyle w:val="Normal"/>
        <w:spacing w:line="240" w:lineRule="auto"/>
      </w:pPr>
      <w:r>
        <w:rPr>
          <w:sz w:val="24"/>
          <w:rFonts w:ascii="Times New Roman" w:hAnsi="Times New Roman"/>
        </w:rPr>
        <w:t>Iznos u tekućoj godini je 64,6 % veći u odnosu na prethodnu godinu  jer smo  u tekućoj godine imali trošak provođenja postupka javne nabave za namirnice za školsku kuhinju te smo morali platiti ovlaštenu osobu koja ima certifikat.</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Pristojbe i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825,68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2.100,47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254,4</w:t>
            </w:r>
          </w:p>
        </w:tc>
      </w:tr>
    </w:tbl>
    <w:p>
      <w:pPr>
        <w:spacing w:before="0" w:after="0"/>
      </w:pPr>
    </w:p>
    <w:p>
      <w:pPr>
        <w:jc w:val="both"/>
        <w:pStyle w:val="Normal"/>
        <w:spacing w:line="240" w:lineRule="auto"/>
      </w:pPr>
      <w:r>
        <w:rPr>
          <w:sz w:val="24"/>
          <w:rFonts w:ascii="Times New Roman" w:hAnsi="Times New Roman"/>
        </w:rPr>
        <w:t>U tekućem razdoblju je veći iznos jer smo prethodne godine imali zaposlenu osobu s invaliditetom te nismo bili u obvezi plaćati naknadu zbog nezapošljavanja osoba s invaliditetom.</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2.858,25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7.301,94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255,5</w:t>
            </w:r>
          </w:p>
        </w:tc>
      </w:tr>
    </w:tbl>
    <w:p>
      <w:pPr>
        <w:spacing w:before="0" w:after="0"/>
      </w:pPr>
    </w:p>
    <w:p>
      <w:pPr>
        <w:jc w:val="both"/>
        <w:pStyle w:val="Normal"/>
        <w:spacing w:line="240" w:lineRule="auto"/>
      </w:pPr>
      <w:r>
        <w:rPr>
          <w:sz w:val="24"/>
          <w:rFonts w:ascii="Times New Roman" w:hAnsi="Times New Roman"/>
        </w:rPr>
        <w:t>Na računu su iskazani rashodi za  učeničke aktivnost: natjecanja Klokan bez granica, Mathema, Mat liga, terenska nastava, fotografiranje učenika, posjeti kazalištu i sl. Iznos ovisi  o planiranim aktivnostima.</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novcu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1.529,20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2.193,16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143,4</w:t>
            </w:r>
          </w:p>
        </w:tc>
      </w:tr>
    </w:tbl>
    <w:p>
      <w:pPr>
        <w:spacing w:before="0" w:after="0"/>
      </w:pPr>
    </w:p>
    <w:p>
      <w:pPr>
        <w:jc w:val="both"/>
        <w:pStyle w:val="Normal"/>
        <w:spacing w:line="240" w:lineRule="auto"/>
      </w:pPr>
      <w:r>
        <w:rPr>
          <w:sz w:val="24"/>
          <w:rFonts w:ascii="Times New Roman" w:hAnsi="Times New Roman"/>
        </w:rPr>
        <w:t>Trošak se odnosi na naknadu za prijevoz učenika s teškoćama. Sredstva su osigurana u državnom proračunu a iznos ovisi o  broju učenika koji ostvaruju pravo na naknadu i udaljenosti učenika od kuće do škole jer se naknada isplaćuje po prijeđenom kilometru.  U istom razdoblju prethodne godine je 5 učenika ostvarivalo pravo na naknadu, a u tekućoj godini 7 učenika ostvaruje to pravo.</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113.473,69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Iskazani je manjak prihoda poslovanja zbog  iskazivanja plaće za 6. mjesec u rashode, a prihode za plaću nismo ostvarili.</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6.964,06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112.754,23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1619,1</w:t>
            </w:r>
          </w:p>
        </w:tc>
      </w:tr>
    </w:tbl>
    <w:p>
      <w:pPr>
        <w:spacing w:before="0" w:after="0"/>
      </w:pPr>
    </w:p>
    <w:p>
      <w:pPr>
        <w:jc w:val="both"/>
        <w:pStyle w:val="Normal"/>
        <w:spacing w:line="240" w:lineRule="auto"/>
      </w:pPr>
      <w:r>
        <w:rPr>
          <w:sz w:val="24"/>
          <w:rFonts w:ascii="Times New Roman" w:hAnsi="Times New Roman"/>
        </w:rPr>
        <w:t>Iskazani iznos obuhvaća potraživanje  iz državnog proračun za plaću za 6./2025., potraživanje od roditelja za produženi boravak, terensku nastavu i potraživanje po računima za iznajmljivanje dvorane i za prehranu djelatnika. Iznos je puno veći u tekućoj godini  u odnosu na prethodnu  jer prethodne godine nismo bili u obvezi  sredstva koja primamo iz nenadležnog proračuna iskazivati kroz potraživanja, a ove godine, u skladu s novim Pravilnikom o proračunskom računovodstvu i računskom planu sve potencijalne prihode iz državnog proračuna iskazujemo na računima 1636/9636.</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9.623,67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1.897,50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19,7</w:t>
            </w:r>
          </w:p>
        </w:tc>
      </w:tr>
    </w:tbl>
    <w:p>
      <w:pPr>
        <w:spacing w:before="0" w:after="0"/>
      </w:pPr>
    </w:p>
    <w:p>
      <w:pPr>
        <w:jc w:val="both"/>
        <w:pStyle w:val="Normal"/>
        <w:spacing w:line="240" w:lineRule="auto"/>
      </w:pPr>
      <w:r>
        <w:rPr>
          <w:sz w:val="24"/>
          <w:rFonts w:ascii="Times New Roman" w:hAnsi="Times New Roman"/>
        </w:rPr>
        <w:t>Ostvarili smo samo19 % prošlogodišnjih rashoda za nefinancijsku imovinu jer nismo imali sredstava za nabavu istih. prethodne godine nam je  Grad Čakovec podmirio dugovanje  za produženi boravak iz 2023. godine te smo iz tih sredstava nabavljali nefinancijsku  imovinu.</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UKUPAN MANJAK PRIHODA (šifre Y034-X067)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115.371,19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Manjak je iskazan zbog primjene novog Pravilnika o proračunskom računovodstvu i računskom planu kojim se ukidaju kontinuirani rashodi te se obračunati iznosi plaća za 6. mjesec iskazuju u rashodima obračunskog razdoblja. Ukupni trošak plaće za 6/2025. koji je iskazan u tekućem obračunskom razdoblju kao 7. rashod iznosi 115.034,05 eura</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9221x, 9222x</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 preneseni (šifre 92211+92212-92221-92222)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9221x,9222x VP</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15.182,10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4.769,84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31,4</w:t>
            </w:r>
          </w:p>
        </w:tc>
      </w:tr>
    </w:tbl>
    <w:p>
      <w:pPr>
        <w:spacing w:before="0" w:after="0"/>
      </w:pPr>
    </w:p>
    <w:p>
      <w:pPr>
        <w:jc w:val="both"/>
        <w:pStyle w:val="Normal"/>
        <w:spacing w:line="240" w:lineRule="auto"/>
      </w:pPr>
      <w:r>
        <w:rPr>
          <w:sz w:val="24"/>
          <w:rFonts w:ascii="Times New Roman" w:hAnsi="Times New Roman"/>
        </w:rPr>
        <w:t>Preneseni višak prihoda poslovanja koje se prenosio u 2025. godinu iznosio je 18.799,55 eura, a manjak prihoda od nefinancijske imovine je iznosio 14.029,71 eur.
Temeljem Odluke o raspodjeli rezultata koju je donio školski odbor na sjednici 19.02.2025. manjak prihoda od nefinancijske imovine pokriven je viškom prihoda poslovanja te nakon  provedenog knjiženja Odluke o raspodjeli rezultata  preneseni višak prihoda poslovanja iznosi 4.769,84 eura.</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96, 97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i od prodaje nefinancijske imovine - nenaplaćeni (šifre 96+97)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6.964,06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112.754,23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1619,1</w:t>
            </w:r>
          </w:p>
        </w:tc>
      </w:tr>
    </w:tbl>
    <w:p>
      <w:pPr>
        <w:spacing w:before="0" w:after="0"/>
      </w:pPr>
    </w:p>
    <w:p>
      <w:pPr>
        <w:jc w:val="both"/>
        <w:pStyle w:val="Normal"/>
        <w:spacing w:line="240" w:lineRule="auto"/>
      </w:pPr>
      <w:r>
        <w:rPr>
          <w:sz w:val="24"/>
          <w:rFonts w:ascii="Times New Roman" w:hAnsi="Times New Roman"/>
        </w:rPr>
        <w:t>Iskazani iznos obuhvaća potraživanje  iz državnog proračun za plaću za 6./2025., potraživanje od roditelja za produženi boravak, terensku nastavu i potraživanje po računima za iznajmljivanje dvorane i za prehranu djelatnika. Iznos je puno veći u tekućoj godini  u odnosu na prethodnu  jer prethodne godine nismo bili u obvezi  sredstva koja primamo iz nenadležnog proračuna iskazivati kroz potraživanja, a ove godine, u skladu s novim Pravilnikom o proračunskom računovodstvu i računskom planu sve potencijalne prihode iz državnog proračuna iskazujemo na računima 1636/9636.</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419,60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Dospjele obveze se odnose na 2. ratu naknade za uređenja voda. Obvezu je trebalo podmiriti do 15. 06.2025.  Zbog nedostatka sredstava na žiro računu, a imali smo obaveze prema dobavljačima  koje je trebalo podmiriti, obaveza je podmirena početkom mjeseca srpnja  jer nam je 30. 06. 2025. osnivač doznačio sredstva za materijalne  troškove za 6/2025.</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9f8194c258444164" /></Relationships>
</file>