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D" w:rsidRDefault="002B0FCD">
      <w:bookmarkStart w:id="0" w:name="_GoBack"/>
      <w:bookmarkEnd w:id="0"/>
      <w:r>
        <w:t>MEĐIMURSKA ŽUPANIJA                                            RAZINA:31</w:t>
      </w:r>
    </w:p>
    <w:p w:rsidR="002B0FCD" w:rsidRDefault="002B0FCD">
      <w:r>
        <w:t>RAZDJEL :80                                                                    RKDP:13578</w:t>
      </w:r>
    </w:p>
    <w:p w:rsidR="002B0FCD" w:rsidRDefault="002B0FCD">
      <w:r>
        <w:t xml:space="preserve">                                                                                           ŠIFARSKA OZNAKA: 8520</w:t>
      </w:r>
    </w:p>
    <w:p w:rsidR="002B0FCD" w:rsidRDefault="002B0FCD">
      <w:r>
        <w:rPr>
          <w:b/>
          <w:bCs/>
        </w:rPr>
        <w:t>III. OSNOVNA ŠKOLA ČAKOVEC</w:t>
      </w:r>
      <w:r>
        <w:t xml:space="preserve">                            ŽIRO RAČUN: </w:t>
      </w:r>
    </w:p>
    <w:p w:rsidR="002B0FCD" w:rsidRDefault="002B0FCD">
      <w:r>
        <w:t xml:space="preserve">                                                                                           2340009-1116014887</w:t>
      </w:r>
    </w:p>
    <w:p w:rsidR="002B0FCD" w:rsidRDefault="002B0FCD">
      <w:r>
        <w:t xml:space="preserve">IVANA PL. ZAJCA 24                                    </w:t>
      </w:r>
      <w:r w:rsidR="00BF0A37">
        <w:t xml:space="preserve">                 RAZDOBLJE: 2022</w:t>
      </w:r>
      <w:r>
        <w:t>-12</w:t>
      </w:r>
    </w:p>
    <w:p w:rsidR="002B0FCD" w:rsidRDefault="002B0FCD">
      <w:r>
        <w:t>40000 ČAKOVEC</w:t>
      </w:r>
    </w:p>
    <w:p w:rsidR="002B0FCD" w:rsidRDefault="002B0FCD">
      <w:r>
        <w:t>ŽUPANIJA: 20</w:t>
      </w:r>
    </w:p>
    <w:p w:rsidR="002B0FCD" w:rsidRDefault="002B0FCD">
      <w:r>
        <w:t>OPĆINA/ GRAD: ČAKOVEC</w:t>
      </w:r>
    </w:p>
    <w:p w:rsidR="002B0FCD" w:rsidRDefault="002B0FCD"/>
    <w:p w:rsidR="002B0FCD" w:rsidRDefault="002B0FCD">
      <w:r>
        <w:t>Čakove</w:t>
      </w:r>
      <w:r w:rsidR="000210CC">
        <w:t>c, 30</w:t>
      </w:r>
      <w:r w:rsidR="00BF0A37">
        <w:t>.01.2023</w:t>
      </w:r>
      <w:r>
        <w:t>.</w:t>
      </w:r>
    </w:p>
    <w:p w:rsidR="002B0FCD" w:rsidRDefault="002B0FCD"/>
    <w:p w:rsidR="002B0FCD" w:rsidRDefault="002B0FCD"/>
    <w:p w:rsidR="002B0FCD" w:rsidRDefault="002B0FCD"/>
    <w:p w:rsidR="002B0FCD" w:rsidRDefault="002B0FCD">
      <w:pPr>
        <w:pStyle w:val="Naslov2"/>
      </w:pPr>
      <w:r>
        <w:t xml:space="preserve">                        BILJEŠKE UZ TEMELJNA FINANCIJSKA IZVJEŠĆA </w:t>
      </w:r>
    </w:p>
    <w:p w:rsidR="002B0FCD" w:rsidRDefault="002B0FCD">
      <w:pPr>
        <w:rPr>
          <w:b/>
          <w:bCs/>
        </w:rPr>
      </w:pPr>
      <w:r>
        <w:rPr>
          <w:b/>
          <w:bCs/>
        </w:rPr>
        <w:t xml:space="preserve">                            Z</w:t>
      </w:r>
      <w:r w:rsidR="00BF0A37">
        <w:rPr>
          <w:b/>
          <w:bCs/>
        </w:rPr>
        <w:t>A RAZDOBLJE 1. 01. DO 31.12.2022</w:t>
      </w:r>
      <w:r>
        <w:rPr>
          <w:b/>
          <w:bCs/>
        </w:rPr>
        <w:t>. GODINE</w:t>
      </w:r>
    </w:p>
    <w:p w:rsidR="000D600D" w:rsidRDefault="000D600D">
      <w:pPr>
        <w:rPr>
          <w:b/>
          <w:bCs/>
        </w:rPr>
      </w:pPr>
    </w:p>
    <w:p w:rsidR="000D600D" w:rsidRPr="000D600D" w:rsidRDefault="000D600D" w:rsidP="000D600D">
      <w:pPr>
        <w:ind w:left="480"/>
        <w:rPr>
          <w:b/>
          <w:bCs/>
        </w:rPr>
      </w:pPr>
      <w:r>
        <w:rPr>
          <w:b/>
          <w:bCs/>
        </w:rPr>
        <w:t>1.</w:t>
      </w:r>
      <w:r w:rsidRPr="000D600D">
        <w:rPr>
          <w:b/>
          <w:bCs/>
        </w:rPr>
        <w:t>Uvod</w:t>
      </w:r>
    </w:p>
    <w:p w:rsidR="001A4C37" w:rsidRDefault="001A4C37">
      <w:pPr>
        <w:rPr>
          <w:b/>
          <w:bCs/>
        </w:rPr>
      </w:pPr>
    </w:p>
    <w:p w:rsidR="001A4C37" w:rsidRDefault="001A4C37">
      <w:pPr>
        <w:rPr>
          <w:color w:val="231F20"/>
          <w:shd w:val="clear" w:color="auto" w:fill="FFFFFF"/>
        </w:rPr>
      </w:pPr>
      <w:r w:rsidRPr="00147987">
        <w:rPr>
          <w:bCs/>
        </w:rPr>
        <w:t>Temeljem Pravilnika</w:t>
      </w:r>
      <w:r w:rsidR="00147987" w:rsidRPr="00147987">
        <w:rPr>
          <w:bCs/>
        </w:rPr>
        <w:t xml:space="preserve"> o proračunskom računovodst</w:t>
      </w:r>
      <w:r w:rsidR="00AE55DE">
        <w:rPr>
          <w:bCs/>
        </w:rPr>
        <w:t>v</w:t>
      </w:r>
      <w:r w:rsidR="00147987" w:rsidRPr="00147987">
        <w:rPr>
          <w:bCs/>
        </w:rPr>
        <w:t xml:space="preserve">u i  računskom planu proračuna  </w:t>
      </w:r>
      <w:r w:rsidR="00147987" w:rsidRPr="00147987">
        <w:rPr>
          <w:rFonts w:ascii="Arial" w:hAnsi="Arial" w:cs="Arial"/>
          <w:color w:val="4D5156"/>
          <w:sz w:val="21"/>
          <w:szCs w:val="21"/>
          <w:shd w:val="clear" w:color="auto" w:fill="FFFFFF"/>
        </w:rPr>
        <w:t>(»Narodne novine«, bro</w:t>
      </w:r>
      <w:r w:rsidR="007A6C9F">
        <w:rPr>
          <w:rFonts w:ascii="Arial" w:hAnsi="Arial" w:cs="Arial"/>
          <w:color w:val="4D5156"/>
          <w:sz w:val="21"/>
          <w:szCs w:val="21"/>
          <w:shd w:val="clear" w:color="auto" w:fill="FFFFFF"/>
        </w:rPr>
        <w:t>j 124/14, 115/15, 87/16, 3/18,</w:t>
      </w:r>
      <w:r w:rsidR="00147987" w:rsidRPr="00147987">
        <w:rPr>
          <w:rFonts w:ascii="Arial" w:hAnsi="Arial" w:cs="Arial"/>
          <w:color w:val="4D5156"/>
          <w:sz w:val="21"/>
          <w:szCs w:val="21"/>
          <w:shd w:val="clear" w:color="auto" w:fill="FFFFFF"/>
        </w:rPr>
        <w:t>126/19</w:t>
      </w:r>
      <w:r w:rsidR="007A6C9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 108/20</w:t>
      </w:r>
      <w:r w:rsidR="00147987" w:rsidRPr="00147987"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 w:rsidR="00147987" w:rsidRPr="00147987">
        <w:rPr>
          <w:bCs/>
        </w:rPr>
        <w:t xml:space="preserve"> </w:t>
      </w:r>
      <w:r w:rsidR="00147987">
        <w:rPr>
          <w:bCs/>
        </w:rPr>
        <w:t>te Pravilni</w:t>
      </w:r>
      <w:r w:rsidR="00AE55DE">
        <w:rPr>
          <w:bCs/>
        </w:rPr>
        <w:t>ka o financijskom izvještavanju u</w:t>
      </w:r>
      <w:r w:rsidR="00147987">
        <w:rPr>
          <w:bCs/>
        </w:rPr>
        <w:t xml:space="preserve"> proračunskom računovodstvu </w:t>
      </w:r>
      <w:r w:rsidR="00147987">
        <w:rPr>
          <w:color w:val="231F20"/>
          <w:shd w:val="clear" w:color="auto" w:fill="FFFFFF"/>
        </w:rPr>
        <w:t>(»Narodne novine«</w:t>
      </w:r>
      <w:r w:rsidR="00BF0A37">
        <w:rPr>
          <w:color w:val="231F20"/>
          <w:shd w:val="clear" w:color="auto" w:fill="FFFFFF"/>
        </w:rPr>
        <w:t xml:space="preserve">, broj </w:t>
      </w:r>
      <w:r w:rsidR="00EA43B6">
        <w:rPr>
          <w:color w:val="231F20"/>
          <w:shd w:val="clear" w:color="auto" w:fill="FFFFFF"/>
        </w:rPr>
        <w:t>37/22.</w:t>
      </w:r>
      <w:r w:rsidR="00147987">
        <w:rPr>
          <w:color w:val="231F20"/>
          <w:shd w:val="clear" w:color="auto" w:fill="FFFFFF"/>
        </w:rPr>
        <w:t>)</w:t>
      </w:r>
      <w:r w:rsidR="007A6C9F">
        <w:rPr>
          <w:color w:val="231F20"/>
          <w:shd w:val="clear" w:color="auto" w:fill="FFFFFF"/>
        </w:rPr>
        <w:t xml:space="preserve"> III. osnovna škola sastavlja Bilješ</w:t>
      </w:r>
      <w:r w:rsidR="00AE55DE">
        <w:rPr>
          <w:color w:val="231F20"/>
          <w:shd w:val="clear" w:color="auto" w:fill="FFFFFF"/>
        </w:rPr>
        <w:t>k</w:t>
      </w:r>
      <w:r w:rsidR="007A6C9F">
        <w:rPr>
          <w:color w:val="231F20"/>
          <w:shd w:val="clear" w:color="auto" w:fill="FFFFFF"/>
        </w:rPr>
        <w:t>e uz temeljna fin</w:t>
      </w:r>
      <w:r w:rsidR="00EA43B6">
        <w:rPr>
          <w:color w:val="231F20"/>
          <w:shd w:val="clear" w:color="auto" w:fill="FFFFFF"/>
        </w:rPr>
        <w:t>ancijska izvješća za 2022</w:t>
      </w:r>
      <w:r w:rsidR="007A6C9F">
        <w:rPr>
          <w:color w:val="231F20"/>
          <w:shd w:val="clear" w:color="auto" w:fill="FFFFFF"/>
        </w:rPr>
        <w:t>. godinu.</w:t>
      </w:r>
    </w:p>
    <w:p w:rsidR="001D3444" w:rsidRDefault="001D3444">
      <w:pPr>
        <w:rPr>
          <w:color w:val="231F20"/>
          <w:shd w:val="clear" w:color="auto" w:fill="FFFFFF"/>
        </w:rPr>
      </w:pPr>
    </w:p>
    <w:p w:rsidR="001D3444" w:rsidRDefault="001D3444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Statutom III. osnovne škole Čakovec utvrđuju se statusna obilježja, ustrojstvo, djelatnosti, ovlasti, način odlučivanja i upravljanja školom, stručna tijela te druga pitanja značajna za rad i djelatnost Škole.</w:t>
      </w:r>
    </w:p>
    <w:p w:rsidR="001D3444" w:rsidRDefault="001D3444">
      <w:pPr>
        <w:rPr>
          <w:color w:val="231F20"/>
          <w:shd w:val="clear" w:color="auto" w:fill="FFFFFF"/>
        </w:rPr>
      </w:pPr>
    </w:p>
    <w:p w:rsidR="001D3444" w:rsidRDefault="001D3444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Osnivač  škole je Grade Čakovec, a Školu zastupa i predstavlja ravnateljica  Nataša Hajdinjak.</w:t>
      </w:r>
    </w:p>
    <w:p w:rsidR="001D3444" w:rsidRDefault="001D3444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Škola je osnovana kao javna ustanova</w:t>
      </w:r>
      <w:r w:rsidR="000D600D">
        <w:rPr>
          <w:color w:val="231F20"/>
          <w:shd w:val="clear" w:color="auto" w:fill="FFFFFF"/>
        </w:rPr>
        <w:t>, a djelatnost obavlja temeljem javnih ovlasti u skladu sa Zakonom o javnim ustanovama, Zakonom o odgoju i obrazovanju u osnovnoj i srednjoj školi, Zakonom o općem upravnom postupku te drugim propisima kojima se uređuje djelatnost osnovnog školstva.</w:t>
      </w:r>
    </w:p>
    <w:p w:rsidR="000D600D" w:rsidRDefault="000D600D">
      <w:pPr>
        <w:rPr>
          <w:color w:val="231F20"/>
          <w:shd w:val="clear" w:color="auto" w:fill="FFFFFF"/>
        </w:rPr>
      </w:pPr>
    </w:p>
    <w:p w:rsidR="000D600D" w:rsidRDefault="000D600D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Odgovorna osoba za popisivanje financijskih izvještaja je ravnateljica škole Nataša Hajdinjak.</w:t>
      </w:r>
    </w:p>
    <w:p w:rsidR="000D600D" w:rsidRDefault="000D600D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Odgovorna osoba za sasta</w:t>
      </w:r>
      <w:r w:rsidR="00EA43B6">
        <w:rPr>
          <w:color w:val="231F20"/>
          <w:shd w:val="clear" w:color="auto" w:fill="FFFFFF"/>
        </w:rPr>
        <w:t>v</w:t>
      </w:r>
      <w:r>
        <w:rPr>
          <w:color w:val="231F20"/>
          <w:shd w:val="clear" w:color="auto" w:fill="FFFFFF"/>
        </w:rPr>
        <w:t>l</w:t>
      </w:r>
      <w:r w:rsidR="00EA43B6">
        <w:rPr>
          <w:color w:val="231F20"/>
          <w:shd w:val="clear" w:color="auto" w:fill="FFFFFF"/>
        </w:rPr>
        <w:t>j</w:t>
      </w:r>
      <w:r>
        <w:rPr>
          <w:color w:val="231F20"/>
          <w:shd w:val="clear" w:color="auto" w:fill="FFFFFF"/>
        </w:rPr>
        <w:t>anje financijskih izvještaja je voditeljica računovodstva Marija Vodopija.</w:t>
      </w:r>
    </w:p>
    <w:p w:rsidR="001D3444" w:rsidRPr="00147987" w:rsidRDefault="001D3444">
      <w:pPr>
        <w:rPr>
          <w:bCs/>
        </w:rPr>
      </w:pPr>
    </w:p>
    <w:p w:rsidR="002B0FCD" w:rsidRDefault="002B0FCD">
      <w:r>
        <w:t xml:space="preserve">U III. osnovnoj </w:t>
      </w:r>
      <w:r w:rsidR="00E262BD">
        <w:t>školi Čakovec</w:t>
      </w:r>
      <w:r w:rsidR="00011298">
        <w:t>,</w:t>
      </w:r>
      <w:r w:rsidR="00EA43B6">
        <w:t xml:space="preserve"> na dan 31.12. 2022</w:t>
      </w:r>
      <w:r w:rsidR="00011298">
        <w:t>.godine</w:t>
      </w:r>
      <w:r w:rsidR="00FE0595">
        <w:t xml:space="preserve">, </w:t>
      </w:r>
      <w:r w:rsidR="00E7091B">
        <w:t xml:space="preserve"> zaposleno je</w:t>
      </w:r>
      <w:r w:rsidR="00EA43B6">
        <w:t xml:space="preserve"> 51 radnika. Od 51 radnika četvero</w:t>
      </w:r>
      <w:r w:rsidR="00FE0595">
        <w:t xml:space="preserve"> ih je u radnom odnosu na </w:t>
      </w:r>
      <w:r w:rsidR="00EA43B6">
        <w:t>određeno vrijeme, a 46</w:t>
      </w:r>
      <w:r w:rsidR="00011298">
        <w:t xml:space="preserve"> na neodređeno radno vrijeme.</w:t>
      </w:r>
    </w:p>
    <w:p w:rsidR="002B0FCD" w:rsidRDefault="00E7091B">
      <w:r>
        <w:t>Od 51-og</w:t>
      </w:r>
      <w:r w:rsidR="00BF2545">
        <w:t xml:space="preserve"> </w:t>
      </w:r>
      <w:r w:rsidR="002B0FCD">
        <w:t xml:space="preserve"> </w:t>
      </w:r>
      <w:r w:rsidR="00FE0595">
        <w:t>radnika koji  rade</w:t>
      </w:r>
      <w:r w:rsidR="00EA43B6">
        <w:t xml:space="preserve"> 12</w:t>
      </w:r>
      <w:r w:rsidR="00BF2545">
        <w:t xml:space="preserve"> </w:t>
      </w:r>
      <w:r w:rsidR="002B0FCD">
        <w:t xml:space="preserve"> radnika ima radni odnos zasnovan na nepuno radno vrijeme.</w:t>
      </w:r>
    </w:p>
    <w:p w:rsidR="002B0FCD" w:rsidRDefault="002B0FCD">
      <w:r>
        <w:t>U redovnoj djelatnosti odnosno u osn</w:t>
      </w:r>
      <w:r w:rsidR="000C7C94">
        <w:t>ovnoškolskom obrazovanju radi 46</w:t>
      </w:r>
      <w:r>
        <w:t xml:space="preserve"> radnika. Njihova plaće se financira iz državnog  proračuna. </w:t>
      </w:r>
    </w:p>
    <w:p w:rsidR="002B0FCD" w:rsidRDefault="00976322">
      <w:r>
        <w:t>U</w:t>
      </w:r>
      <w:r w:rsidR="00E7091B">
        <w:t xml:space="preserve"> produženom boravku radi troje</w:t>
      </w:r>
      <w:r w:rsidR="003A11CD">
        <w:t xml:space="preserve"> </w:t>
      </w:r>
      <w:r w:rsidR="002B0FCD">
        <w:t xml:space="preserve"> radnika, a njihova plaća se finan</w:t>
      </w:r>
      <w:r w:rsidR="00FE0595">
        <w:t>cira iz proračuna Grada Čakovca i roditelja učenika</w:t>
      </w:r>
      <w:r w:rsidR="00AE3E88">
        <w:t xml:space="preserve"> -</w:t>
      </w:r>
      <w:r w:rsidR="00FE0595">
        <w:t xml:space="preserve"> polaznika produženog boravka.</w:t>
      </w:r>
    </w:p>
    <w:p w:rsidR="002B0FCD" w:rsidRDefault="00553065">
      <w:r>
        <w:t>Dvije radnice  su zaposlene</w:t>
      </w:r>
      <w:r w:rsidR="002B0FCD">
        <w:t xml:space="preserve"> na nepuno radno vrijeme  u svojstvu pomoćnika u </w:t>
      </w:r>
      <w:r w:rsidR="00FE0595">
        <w:t>nastavi učenicima s teškoćama.</w:t>
      </w:r>
      <w:r w:rsidR="00667019">
        <w:t xml:space="preserve"> </w:t>
      </w:r>
      <w:r w:rsidR="00E7091B">
        <w:t xml:space="preserve"> P</w:t>
      </w:r>
      <w:r w:rsidR="002B0FCD">
        <w:t xml:space="preserve">laća </w:t>
      </w:r>
      <w:r>
        <w:t xml:space="preserve">za pomoćnike </w:t>
      </w:r>
      <w:r w:rsidR="00E7091B">
        <w:t xml:space="preserve"> </w:t>
      </w:r>
      <w:r w:rsidR="002B0FCD">
        <w:t xml:space="preserve">se financira </w:t>
      </w:r>
      <w:r w:rsidR="00C51754">
        <w:t>iz p</w:t>
      </w:r>
      <w:r w:rsidR="002B0FCD">
        <w:t>rojekt</w:t>
      </w:r>
      <w:r w:rsidR="00C51754">
        <w:t>a</w:t>
      </w:r>
      <w:r w:rsidR="002B0FCD">
        <w:t xml:space="preserve"> „ Osiguravanje pomoćnika učenicima s teškoćama u osnovnim školama Grada Čakovca“ iz Europskog </w:t>
      </w:r>
      <w:r w:rsidR="002B0FCD">
        <w:lastRenderedPageBreak/>
        <w:t>socijalnog fonda</w:t>
      </w:r>
      <w:r w:rsidR="00AE55DE">
        <w:t xml:space="preserve"> 72,25 %, državni proračun 12,75 % i Grad Čakovec 15 % od ukupnog iznosa</w:t>
      </w:r>
      <w:r>
        <w:t>.</w:t>
      </w:r>
    </w:p>
    <w:p w:rsidR="007A6C9F" w:rsidRDefault="007A6C9F"/>
    <w:p w:rsidR="007A6C9F" w:rsidRDefault="00553065">
      <w:r>
        <w:t>Tijekom 2022</w:t>
      </w:r>
      <w:r w:rsidR="007A6C9F">
        <w:t>. godine Škola je  e</w:t>
      </w:r>
      <w:r w:rsidR="0042525B">
        <w:t>videntirala  poslovne promjene u</w:t>
      </w:r>
      <w:r w:rsidR="007A6C9F">
        <w:t xml:space="preserve"> skladu s Pravilnikom o proračunskom računovodstvu u računskom planu.</w:t>
      </w:r>
    </w:p>
    <w:p w:rsidR="007A6C9F" w:rsidRDefault="007A6C9F"/>
    <w:p w:rsidR="007A6C9F" w:rsidRDefault="007A6C9F">
      <w:r>
        <w:t>Bilješke sadrže:</w:t>
      </w:r>
    </w:p>
    <w:p w:rsidR="007A6C9F" w:rsidRDefault="007A6C9F" w:rsidP="007A6C9F">
      <w:pPr>
        <w:pStyle w:val="Odlomakpopisa"/>
        <w:numPr>
          <w:ilvl w:val="0"/>
          <w:numId w:val="5"/>
        </w:numPr>
      </w:pPr>
      <w:r>
        <w:t>Bilješke u</w:t>
      </w:r>
      <w:r w:rsidR="00553065">
        <w:t>z obr. Bilanca na dan 31.12.2022</w:t>
      </w:r>
      <w:r>
        <w:t>.</w:t>
      </w:r>
    </w:p>
    <w:p w:rsidR="007A6C9F" w:rsidRDefault="007A6C9F" w:rsidP="007A6C9F">
      <w:pPr>
        <w:pStyle w:val="Odlomakpopisa"/>
        <w:numPr>
          <w:ilvl w:val="0"/>
          <w:numId w:val="5"/>
        </w:numPr>
      </w:pPr>
      <w:r>
        <w:t>Bilješke uz obr. PR-RAS</w:t>
      </w:r>
      <w:r w:rsidR="00553065">
        <w:t xml:space="preserve"> za razdoblje 01.01.2022</w:t>
      </w:r>
      <w:r w:rsidR="0042525B">
        <w:t>. do 31.12</w:t>
      </w:r>
      <w:r w:rsidR="00553065">
        <w:t>.2022</w:t>
      </w:r>
      <w:r>
        <w:t>.</w:t>
      </w:r>
    </w:p>
    <w:p w:rsidR="007A6C9F" w:rsidRDefault="00B14EA3" w:rsidP="007A6C9F">
      <w:pPr>
        <w:pStyle w:val="Odlomakpopisa"/>
        <w:numPr>
          <w:ilvl w:val="0"/>
          <w:numId w:val="5"/>
        </w:numPr>
      </w:pPr>
      <w:r>
        <w:t>Bilješko uz obr Ras</w:t>
      </w:r>
      <w:r w:rsidR="007A65EC">
        <w:t xml:space="preserve"> funksijski</w:t>
      </w:r>
    </w:p>
    <w:p w:rsidR="007A6C9F" w:rsidRDefault="007A6C9F" w:rsidP="007A6C9F">
      <w:pPr>
        <w:pStyle w:val="Odlomakpopisa"/>
        <w:numPr>
          <w:ilvl w:val="0"/>
          <w:numId w:val="5"/>
        </w:numPr>
      </w:pPr>
      <w:r>
        <w:t>Bilješke  uz obr. P-VRIO</w:t>
      </w:r>
    </w:p>
    <w:p w:rsidR="007A6C9F" w:rsidRDefault="007A6C9F" w:rsidP="007A6C9F">
      <w:pPr>
        <w:pStyle w:val="Odlomakpopisa"/>
        <w:numPr>
          <w:ilvl w:val="0"/>
          <w:numId w:val="5"/>
        </w:numPr>
      </w:pPr>
      <w:r>
        <w:t>Bilješke  uz obr. OBVEZE</w:t>
      </w:r>
    </w:p>
    <w:p w:rsidR="007A6C9F" w:rsidRDefault="007A6C9F" w:rsidP="007A6C9F"/>
    <w:p w:rsidR="007A6C9F" w:rsidRDefault="007A6C9F" w:rsidP="007A6C9F"/>
    <w:p w:rsidR="007F6B25" w:rsidRDefault="007F6B25" w:rsidP="007F6B25">
      <w:pPr>
        <w:pStyle w:val="Naslov3"/>
      </w:pPr>
      <w:r>
        <w:t>Bilješke uz obrazac BILANCA</w:t>
      </w:r>
    </w:p>
    <w:p w:rsidR="007A6C9F" w:rsidRDefault="007A6C9F"/>
    <w:p w:rsidR="003A11CD" w:rsidRDefault="003A11CD"/>
    <w:p w:rsidR="002B0FCD" w:rsidRPr="007F6B25" w:rsidRDefault="002B0FCD" w:rsidP="007F6B25">
      <w:pPr>
        <w:pStyle w:val="Odlomakpopisa"/>
        <w:numPr>
          <w:ilvl w:val="0"/>
          <w:numId w:val="9"/>
        </w:numPr>
        <w:rPr>
          <w:b/>
          <w:bCs/>
        </w:rPr>
      </w:pPr>
      <w:r w:rsidRPr="007F6B25">
        <w:rPr>
          <w:b/>
          <w:bCs/>
        </w:rPr>
        <w:t>OBAVEZNE BILJEŠKE  UZ BILANCU</w:t>
      </w:r>
    </w:p>
    <w:p w:rsidR="002B0FCD" w:rsidRDefault="002B0FCD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666"/>
        <w:gridCol w:w="2268"/>
        <w:gridCol w:w="2971"/>
      </w:tblGrid>
      <w:tr w:rsidR="00246E57" w:rsidTr="000210CC">
        <w:tc>
          <w:tcPr>
            <w:tcW w:w="2157" w:type="dxa"/>
            <w:shd w:val="clear" w:color="auto" w:fill="auto"/>
          </w:tcPr>
          <w:p w:rsidR="00CA6481" w:rsidRPr="000210CC" w:rsidRDefault="00CA6481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Sudski sporovi u tijeku</w:t>
            </w:r>
          </w:p>
        </w:tc>
        <w:tc>
          <w:tcPr>
            <w:tcW w:w="1666" w:type="dxa"/>
            <w:shd w:val="clear" w:color="auto" w:fill="auto"/>
          </w:tcPr>
          <w:p w:rsidR="00CA6481" w:rsidRPr="000210CC" w:rsidRDefault="00CA6481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Iznos sudskog spora</w:t>
            </w:r>
            <w:r w:rsidR="002858F1" w:rsidRPr="000210CC">
              <w:rPr>
                <w:b/>
                <w:bCs/>
              </w:rPr>
              <w:t xml:space="preserve"> - procjena</w:t>
            </w:r>
          </w:p>
        </w:tc>
        <w:tc>
          <w:tcPr>
            <w:tcW w:w="2268" w:type="dxa"/>
            <w:shd w:val="clear" w:color="auto" w:fill="auto"/>
          </w:tcPr>
          <w:p w:rsidR="00CA6481" w:rsidRPr="000210CC" w:rsidRDefault="00CA6481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Vrijeme odljeva ili priljev</w:t>
            </w:r>
          </w:p>
        </w:tc>
        <w:tc>
          <w:tcPr>
            <w:tcW w:w="2971" w:type="dxa"/>
            <w:shd w:val="clear" w:color="auto" w:fill="auto"/>
          </w:tcPr>
          <w:p w:rsidR="00CA6481" w:rsidRPr="000210CC" w:rsidRDefault="00246E57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Napomena</w:t>
            </w:r>
          </w:p>
        </w:tc>
      </w:tr>
      <w:tr w:rsidR="00246E57" w:rsidTr="000210CC">
        <w:tc>
          <w:tcPr>
            <w:tcW w:w="2157" w:type="dxa"/>
            <w:shd w:val="clear" w:color="auto" w:fill="auto"/>
          </w:tcPr>
          <w:p w:rsidR="00CA6481" w:rsidRPr="000210CC" w:rsidRDefault="00CA6481">
            <w:pPr>
              <w:rPr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:rsidR="0079174B" w:rsidRPr="000210CC" w:rsidRDefault="0079174B" w:rsidP="00246E57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858F1" w:rsidRPr="000210CC" w:rsidRDefault="002858F1">
            <w:pPr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:rsidR="00CA6481" w:rsidRPr="000210CC" w:rsidRDefault="00CA6481" w:rsidP="00246E57">
            <w:pPr>
              <w:rPr>
                <w:b/>
                <w:bCs/>
              </w:rPr>
            </w:pPr>
          </w:p>
        </w:tc>
      </w:tr>
      <w:tr w:rsidR="00246E57" w:rsidTr="000210CC">
        <w:tc>
          <w:tcPr>
            <w:tcW w:w="2157" w:type="dxa"/>
            <w:shd w:val="clear" w:color="auto" w:fill="auto"/>
          </w:tcPr>
          <w:p w:rsidR="00AB2C76" w:rsidRPr="000210CC" w:rsidRDefault="00553065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Nema podataka</w:t>
            </w:r>
          </w:p>
        </w:tc>
        <w:tc>
          <w:tcPr>
            <w:tcW w:w="1666" w:type="dxa"/>
            <w:shd w:val="clear" w:color="auto" w:fill="auto"/>
          </w:tcPr>
          <w:p w:rsidR="00CA6481" w:rsidRPr="000210CC" w:rsidRDefault="00553065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Nema podataka</w:t>
            </w:r>
          </w:p>
          <w:p w:rsidR="0079174B" w:rsidRPr="000210CC" w:rsidRDefault="0079174B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A6481" w:rsidRPr="000210CC" w:rsidRDefault="00CA6481">
            <w:pPr>
              <w:rPr>
                <w:b/>
                <w:bCs/>
              </w:rPr>
            </w:pPr>
          </w:p>
          <w:p w:rsidR="00677B30" w:rsidRPr="000210CC" w:rsidRDefault="00553065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Nema podataka</w:t>
            </w:r>
          </w:p>
        </w:tc>
        <w:tc>
          <w:tcPr>
            <w:tcW w:w="2971" w:type="dxa"/>
            <w:shd w:val="clear" w:color="auto" w:fill="auto"/>
          </w:tcPr>
          <w:p w:rsidR="00CA6481" w:rsidRPr="000210CC" w:rsidRDefault="00553065" w:rsidP="002C6AB9">
            <w:pPr>
              <w:rPr>
                <w:b/>
                <w:bCs/>
              </w:rPr>
            </w:pPr>
            <w:r w:rsidRPr="000210CC">
              <w:rPr>
                <w:b/>
                <w:bCs/>
              </w:rPr>
              <w:t>Nema podataka</w:t>
            </w:r>
          </w:p>
        </w:tc>
      </w:tr>
      <w:tr w:rsidR="00246E57" w:rsidTr="000210CC">
        <w:tc>
          <w:tcPr>
            <w:tcW w:w="2157" w:type="dxa"/>
            <w:shd w:val="clear" w:color="auto" w:fill="auto"/>
          </w:tcPr>
          <w:p w:rsidR="00677B30" w:rsidRPr="000210CC" w:rsidRDefault="00677B30">
            <w:pPr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auto"/>
          </w:tcPr>
          <w:p w:rsidR="007A6C9F" w:rsidRPr="000210CC" w:rsidRDefault="007A6C9F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A6C9F" w:rsidRPr="000210CC" w:rsidRDefault="007A6C9F">
            <w:pPr>
              <w:rPr>
                <w:b/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:rsidR="007A6C9F" w:rsidRPr="000210CC" w:rsidRDefault="007A6C9F">
            <w:pPr>
              <w:rPr>
                <w:b/>
                <w:bCs/>
              </w:rPr>
            </w:pPr>
          </w:p>
        </w:tc>
      </w:tr>
    </w:tbl>
    <w:p w:rsidR="003C4034" w:rsidRDefault="003C4034">
      <w:pPr>
        <w:pStyle w:val="Naslov3"/>
      </w:pPr>
    </w:p>
    <w:p w:rsidR="002B0FCD" w:rsidRDefault="002B0FCD">
      <w:pPr>
        <w:pStyle w:val="Naslov3"/>
      </w:pPr>
      <w:r>
        <w:t>Bilješke uz obrazac BILANCA</w:t>
      </w:r>
    </w:p>
    <w:p w:rsidR="007F6B25" w:rsidRDefault="007F6B25"/>
    <w:p w:rsidR="007F6B25" w:rsidRDefault="007F6B25">
      <w:r>
        <w:t>Račun 012</w:t>
      </w:r>
      <w:r w:rsidR="00C6553A">
        <w:t xml:space="preserve"> – </w:t>
      </w:r>
      <w:r>
        <w:t>Nematerijalna imovina – iznos na dan 31. 12. 2022. je manji u odnosu na 01.01.2022. zbog  isknjižavanja trogodišnjih licenci kojima je istekao rok.</w:t>
      </w:r>
    </w:p>
    <w:p w:rsidR="007F6B25" w:rsidRDefault="007F6B25"/>
    <w:p w:rsidR="002B0FCD" w:rsidRDefault="00B17D25">
      <w:r>
        <w:t>Račun 021 i 02921 povećana je vrijednost građevinskih objekata</w:t>
      </w:r>
      <w:r w:rsidR="00C6553A">
        <w:t xml:space="preserve"> zbog dodatnog ulaganja u građevinske objekte (</w:t>
      </w:r>
      <w:r>
        <w:t xml:space="preserve">školska zgrada i </w:t>
      </w:r>
      <w:r w:rsidR="00C6553A">
        <w:t>školsko</w:t>
      </w:r>
      <w:r>
        <w:t xml:space="preserve"> igralište</w:t>
      </w:r>
      <w:r w:rsidR="00C6553A">
        <w:t>) te nabave  udžbenika, kn</w:t>
      </w:r>
      <w:r>
        <w:t xml:space="preserve">jiga za školsku  knjižnicu, </w:t>
      </w:r>
      <w:r w:rsidR="001034BC">
        <w:t xml:space="preserve"> opreme i namještaja)</w:t>
      </w:r>
    </w:p>
    <w:p w:rsidR="00FE0595" w:rsidRDefault="00FE0595"/>
    <w:p w:rsidR="002B0FCD" w:rsidRDefault="002B0FCD"/>
    <w:p w:rsidR="002858F1" w:rsidRDefault="00843CA7">
      <w:r>
        <w:t xml:space="preserve"> AOP </w:t>
      </w:r>
      <w:r w:rsidR="00B17D25">
        <w:t>022 i 02922  – povećana</w:t>
      </w:r>
      <w:r w:rsidR="002B0FCD">
        <w:t xml:space="preserve"> je vrijedno</w:t>
      </w:r>
      <w:r>
        <w:t>s</w:t>
      </w:r>
      <w:r w:rsidR="00B17D25">
        <w:t>t opreme u odnosu na 01.01.2022. zbog novo nabavljene  opreme</w:t>
      </w:r>
      <w:r w:rsidR="001034BC">
        <w:t xml:space="preserve">. </w:t>
      </w:r>
    </w:p>
    <w:p w:rsidR="00B17D25" w:rsidRDefault="00B17D25">
      <w:r>
        <w:t>Ispravak vrijednosti postrojenja i  opreme je manji na dan 31. 12.2022. u odnosu na 01.01.2022. zbog isknjižavanja  zastarjele i tehnički neispravne imovine.</w:t>
      </w:r>
    </w:p>
    <w:p w:rsidR="00240160" w:rsidRDefault="00240160"/>
    <w:p w:rsidR="000B5617" w:rsidRDefault="00717A86">
      <w:r>
        <w:t>Račun 024 i 0294</w:t>
      </w:r>
      <w:r w:rsidR="000B5617">
        <w:t xml:space="preserve"> </w:t>
      </w:r>
      <w:r>
        <w:t xml:space="preserve"> – tijekom 2022</w:t>
      </w:r>
      <w:r w:rsidR="00240160">
        <w:t>. godine</w:t>
      </w:r>
      <w:r w:rsidR="008D2335">
        <w:t xml:space="preserve"> nabavljeni su udžbenici za</w:t>
      </w:r>
      <w:r>
        <w:t xml:space="preserve"> koje je sredstva osiguralo  i lektira</w:t>
      </w:r>
      <w:r w:rsidR="000B5617">
        <w:t xml:space="preserve"> za školsku knjižnicu</w:t>
      </w:r>
      <w:r>
        <w:t>.</w:t>
      </w:r>
    </w:p>
    <w:p w:rsidR="00240160" w:rsidRDefault="000B5617">
      <w:r>
        <w:t>.</w:t>
      </w:r>
    </w:p>
    <w:p w:rsidR="00661AA1" w:rsidRDefault="00717A86">
      <w:r>
        <w:t>Račun 02924 -</w:t>
      </w:r>
      <w:r w:rsidR="000B5617">
        <w:t xml:space="preserve"> </w:t>
      </w:r>
      <w:r w:rsidR="00661AA1">
        <w:t>Udžbenici su jednokratno otpisani u skladu s člankom 18. Pravilnika o proračunskom  računovodstvu i računskim planom te Odlukom ravnateljice škole Klasa:406-08/19-01/01; Urb</w:t>
      </w:r>
      <w:r w:rsidR="00842C84">
        <w:t>roj: 2109-23-01-19-03 od 27.12.</w:t>
      </w:r>
      <w:r w:rsidR="001034BC">
        <w:t>2019.</w:t>
      </w:r>
    </w:p>
    <w:p w:rsidR="000B5617" w:rsidRDefault="000B5617"/>
    <w:p w:rsidR="00717A86" w:rsidRDefault="00717A86">
      <w:r>
        <w:lastRenderedPageBreak/>
        <w:t>Račun 0262 – iznos na dan 3</w:t>
      </w:r>
      <w:r w:rsidR="005966B7">
        <w:t>1.12. je manji u odnosu na 01. 01. zbog isknjižavanja programa  koji se više ne koristi.</w:t>
      </w:r>
    </w:p>
    <w:p w:rsidR="005966B7" w:rsidRDefault="005966B7"/>
    <w:p w:rsidR="000B5617" w:rsidRDefault="005966B7">
      <w:r>
        <w:t>Račun 041 i 049  Tijekom 2022</w:t>
      </w:r>
      <w:r w:rsidR="000B5617">
        <w:t>. godine  nabavljena je oprema koja je u skladu s Pravilnikom o računovodstvu i računskim planom te Odlukom ravnateljice razvrstana u sitni inventar škole</w:t>
      </w:r>
      <w:r w:rsidR="001034BC">
        <w:t>. St</w:t>
      </w:r>
      <w:r w:rsidR="000B5617">
        <w:t>anje sitnog inventara u upotrebi i ispravak vrijednosti sitnog</w:t>
      </w:r>
      <w:r w:rsidR="006237C0">
        <w:t xml:space="preserve"> inventara na kraju izvje</w:t>
      </w:r>
      <w:r>
        <w:t>štajnog razdoblja  veće  za 2</w:t>
      </w:r>
      <w:r w:rsidR="006237C0">
        <w:t xml:space="preserve"> % u odnosu na  početak razdoblja</w:t>
      </w:r>
      <w:r>
        <w:t xml:space="preserve"> o to za iznos novonabavljenog sitnog inventara</w:t>
      </w:r>
      <w:r w:rsidR="006237C0">
        <w:t>.</w:t>
      </w:r>
    </w:p>
    <w:p w:rsidR="002858F1" w:rsidRDefault="002858F1"/>
    <w:p w:rsidR="002858F1" w:rsidRDefault="002858F1"/>
    <w:p w:rsidR="002B0FCD" w:rsidRDefault="005966B7">
      <w:r>
        <w:t xml:space="preserve">Račun 129 </w:t>
      </w:r>
      <w:r w:rsidR="00283E72">
        <w:t>-  iskaz</w:t>
      </w:r>
      <w:r>
        <w:t>an potraživanja su manja u odnosu</w:t>
      </w:r>
      <w:r w:rsidR="00283E72">
        <w:t xml:space="preserve"> na početak razdoblja</w:t>
      </w:r>
      <w:r w:rsidR="001034BC">
        <w:t xml:space="preserve"> </w:t>
      </w:r>
      <w:r w:rsidR="00283E72">
        <w:t xml:space="preserve"> jer</w:t>
      </w:r>
      <w:r w:rsidR="00077063">
        <w:t xml:space="preserve"> je</w:t>
      </w:r>
      <w:r w:rsidR="00283E72">
        <w:t xml:space="preserve"> HZZO</w:t>
      </w:r>
      <w:r w:rsidR="00077063">
        <w:t xml:space="preserve"> refundirao naknade za bolovanja</w:t>
      </w:r>
      <w:r w:rsidR="001D4CAE">
        <w:t>, a osim  potraživanja za bolovanja na računu 129 je iskazano i potraživanje za plaćeni predujam za namještaj.</w:t>
      </w:r>
    </w:p>
    <w:p w:rsidR="002B0FCD" w:rsidRDefault="002B0FCD"/>
    <w:p w:rsidR="002B0FCD" w:rsidRDefault="002B0FCD"/>
    <w:p w:rsidR="00AB2C76" w:rsidRDefault="00077063">
      <w:r>
        <w:t>Račun 16</w:t>
      </w:r>
      <w:r w:rsidR="00F641BB">
        <w:t xml:space="preserve"> – iskazana su </w:t>
      </w:r>
      <w:r w:rsidR="002B0FCD">
        <w:t xml:space="preserve">potraživanja od </w:t>
      </w:r>
      <w:r w:rsidR="00ED5D68">
        <w:t xml:space="preserve">roditelja za </w:t>
      </w:r>
      <w:r w:rsidR="00645E8C">
        <w:t>produženi boravak, za školsku užinu te za</w:t>
      </w:r>
      <w:r w:rsidR="00230917">
        <w:t xml:space="preserve"> najam školsk</w:t>
      </w:r>
      <w:r w:rsidR="00AB2C76">
        <w:t>e sportske dvorane</w:t>
      </w:r>
      <w:r w:rsidR="00EE04F5">
        <w:t>. U iskazanim potraživanjima postoje potraž</w:t>
      </w:r>
      <w:r w:rsidR="00EE5622">
        <w:t xml:space="preserve">ivanja starije od  jedne </w:t>
      </w:r>
      <w:r w:rsidR="00EE04F5">
        <w:t xml:space="preserve"> i tri godine  te je   izvršen ispravak vrijednosti takvih potraživanj</w:t>
      </w:r>
      <w:r>
        <w:t xml:space="preserve">a koji je iskazan na račun </w:t>
      </w:r>
      <w:r w:rsidR="00EE04F5">
        <w:t>169.</w:t>
      </w:r>
    </w:p>
    <w:p w:rsidR="002B0FCD" w:rsidRDefault="002B0FCD">
      <w:r>
        <w:t xml:space="preserve">                 </w:t>
      </w:r>
    </w:p>
    <w:p w:rsidR="002B0FCD" w:rsidRDefault="00077063">
      <w:r>
        <w:t>Račun 172</w:t>
      </w:r>
      <w:r w:rsidR="00553556">
        <w:t xml:space="preserve"> – potraživanje za prodane stanove na koje je po</w:t>
      </w:r>
      <w:r w:rsidR="00E126F0">
        <w:t>stojalo stanars</w:t>
      </w:r>
      <w:r w:rsidR="00074A31">
        <w:t xml:space="preserve">ko pravo </w:t>
      </w:r>
      <w:r w:rsidR="00EE04F5">
        <w:t>manje je u odnosu na 01.01.2021</w:t>
      </w:r>
      <w:r w:rsidR="00F641BB">
        <w:t>. za uplaćen iznos kroz godinu, a i izvršeno je usklađenje  potraživanja s PBZ-om. Usklađenje  je iskazano   u P-VRIO obrascu.</w:t>
      </w:r>
    </w:p>
    <w:p w:rsidR="002B0FCD" w:rsidRDefault="002B0FCD"/>
    <w:p w:rsidR="002B0FCD" w:rsidRDefault="00077063">
      <w:r>
        <w:t>Račun 193</w:t>
      </w:r>
      <w:r w:rsidR="002B0FCD" w:rsidRPr="00936DA7">
        <w:t xml:space="preserve"> - </w:t>
      </w:r>
      <w:r w:rsidR="00B2794A">
        <w:t>kontinuirani</w:t>
      </w:r>
      <w:r w:rsidR="002B0FCD" w:rsidRPr="00936DA7">
        <w:t xml:space="preserve"> rashodi budućeg razdoblja odnose se na plaću za 12. mjesec </w:t>
      </w:r>
      <w:r>
        <w:t>2022</w:t>
      </w:r>
      <w:r w:rsidR="00ED5D68">
        <w:t>.</w:t>
      </w:r>
      <w:r w:rsidR="002B0FCD" w:rsidRPr="00936DA7">
        <w:t xml:space="preserve"> k</w:t>
      </w:r>
      <w:r w:rsidR="002B0FCD">
        <w:t xml:space="preserve">oja je </w:t>
      </w:r>
      <w:r w:rsidR="00EE04F5">
        <w:t xml:space="preserve"> isplaćena u siječ</w:t>
      </w:r>
      <w:r>
        <w:t>nju 2023</w:t>
      </w:r>
      <w:r w:rsidR="002B0FCD" w:rsidRPr="00936DA7">
        <w:t>.</w:t>
      </w:r>
      <w:r w:rsidR="0043690A">
        <w:t>, jer  Škola ima već  dvanaest kontinuiranih rashoda za plaću.</w:t>
      </w:r>
    </w:p>
    <w:p w:rsidR="002B0FCD" w:rsidRDefault="002B0FCD"/>
    <w:p w:rsidR="00667019" w:rsidRDefault="00667019" w:rsidP="00B44F41"/>
    <w:p w:rsidR="003D2710" w:rsidRDefault="00B44F41">
      <w:r>
        <w:t xml:space="preserve"> </w:t>
      </w:r>
      <w:r w:rsidR="00077063">
        <w:t>Račun</w:t>
      </w:r>
      <w:r w:rsidR="00EE04F5">
        <w:t xml:space="preserve"> </w:t>
      </w:r>
      <w:r w:rsidR="00077063">
        <w:t xml:space="preserve">231do 238 </w:t>
      </w:r>
      <w:r w:rsidR="002B0FCD">
        <w:t>– iskazane s</w:t>
      </w:r>
      <w:r w:rsidR="003D2710">
        <w:t>e obveze za</w:t>
      </w:r>
      <w:r w:rsidR="00077063">
        <w:t xml:space="preserve"> zaposlene (plaća za 12./22. isplaćena i siječnju 2023</w:t>
      </w:r>
      <w:r w:rsidR="00EE04F5">
        <w:t>., obaveze</w:t>
      </w:r>
      <w:r w:rsidR="003D2710">
        <w:t xml:space="preserve"> materijalne i </w:t>
      </w:r>
      <w:r w:rsidR="00324E42">
        <w:t xml:space="preserve">financijske rashode (računi za 12. </w:t>
      </w:r>
      <w:r w:rsidR="00077063">
        <w:t>mjesec plaćeni u 1. mjesecu 2023</w:t>
      </w:r>
      <w:r w:rsidR="00842C84">
        <w:t>.</w:t>
      </w:r>
      <w:r w:rsidR="00324E42">
        <w:t>.</w:t>
      </w:r>
      <w:r w:rsidR="003D2710">
        <w:t xml:space="preserve"> </w:t>
      </w:r>
    </w:p>
    <w:p w:rsidR="00077063" w:rsidRDefault="00077063"/>
    <w:p w:rsidR="00077063" w:rsidRDefault="00077063">
      <w:r>
        <w:t>Račun 239 -</w:t>
      </w:r>
      <w:r w:rsidRPr="00077063">
        <w:t xml:space="preserve"> </w:t>
      </w:r>
      <w:r>
        <w:t>je obveza za isplaćeno bolovanje preko 42 dana koje se vraća u državni proračun</w:t>
      </w:r>
    </w:p>
    <w:p w:rsidR="00EF23BB" w:rsidRDefault="00EF23BB"/>
    <w:p w:rsidR="00EF23BB" w:rsidRDefault="00EF23BB">
      <w:r>
        <w:t>Računi 9111 i 9112 – iznosi su različiti u odnosu na 01. 01. 2022. zbog isknjižavanja dotrajale imovine i nabave bove imovine.</w:t>
      </w:r>
    </w:p>
    <w:p w:rsidR="002B0FCD" w:rsidRDefault="003D2710">
      <w:r>
        <w:t xml:space="preserve">                                    </w:t>
      </w:r>
    </w:p>
    <w:p w:rsidR="00705D17" w:rsidRDefault="00705D17"/>
    <w:p w:rsidR="00324E42" w:rsidRDefault="00BA5BDF">
      <w:r>
        <w:t xml:space="preserve">AOP </w:t>
      </w:r>
      <w:r w:rsidR="00CB25D1">
        <w:t xml:space="preserve"> – podatak</w:t>
      </w:r>
      <w:r>
        <w:t xml:space="preserve">  viška/manjka na dan 31.12.2022</w:t>
      </w:r>
      <w:r w:rsidR="00CB25D1">
        <w:t xml:space="preserve">. naveden </w:t>
      </w:r>
      <w:r w:rsidR="00EF1479">
        <w:t>je nakon izvršene korekcije rezultata i razlikuje se od podataka u obrascu PR-RAS</w:t>
      </w:r>
    </w:p>
    <w:p w:rsidR="00705D17" w:rsidRDefault="00705D17"/>
    <w:p w:rsidR="00EF1479" w:rsidRDefault="00EF14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273"/>
        <w:gridCol w:w="2270"/>
        <w:gridCol w:w="2273"/>
      </w:tblGrid>
      <w:tr w:rsidR="00EF1479" w:rsidTr="000210CC">
        <w:tc>
          <w:tcPr>
            <w:tcW w:w="2322" w:type="dxa"/>
            <w:shd w:val="clear" w:color="auto" w:fill="auto"/>
          </w:tcPr>
          <w:p w:rsidR="00EF1479" w:rsidRDefault="00EF1479"/>
        </w:tc>
        <w:tc>
          <w:tcPr>
            <w:tcW w:w="2322" w:type="dxa"/>
            <w:shd w:val="clear" w:color="auto" w:fill="auto"/>
          </w:tcPr>
          <w:p w:rsidR="00EF1479" w:rsidRDefault="002E043A">
            <w:r>
              <w:t>Pozicije na dan 01.01</w:t>
            </w:r>
            <w:r w:rsidR="00BA5BDF">
              <w:t>.2022</w:t>
            </w:r>
            <w:r w:rsidR="00EF1479">
              <w:t>.</w:t>
            </w:r>
          </w:p>
        </w:tc>
        <w:tc>
          <w:tcPr>
            <w:tcW w:w="2322" w:type="dxa"/>
            <w:shd w:val="clear" w:color="auto" w:fill="auto"/>
          </w:tcPr>
          <w:p w:rsidR="00EF1479" w:rsidRDefault="00EF1479">
            <w:r>
              <w:t xml:space="preserve">Bilanca </w:t>
            </w:r>
          </w:p>
          <w:p w:rsidR="002E043A" w:rsidRDefault="00BA5BDF">
            <w:r>
              <w:t>31.12.2022</w:t>
            </w:r>
          </w:p>
        </w:tc>
        <w:tc>
          <w:tcPr>
            <w:tcW w:w="2322" w:type="dxa"/>
            <w:shd w:val="clear" w:color="auto" w:fill="auto"/>
          </w:tcPr>
          <w:p w:rsidR="00EF1479" w:rsidRDefault="00EF1479">
            <w:r>
              <w:t>PR-RAS</w:t>
            </w:r>
          </w:p>
          <w:p w:rsidR="002E043A" w:rsidRDefault="00BA5BDF">
            <w:r>
              <w:t>31.12.2022</w:t>
            </w:r>
            <w:r w:rsidR="002E043A">
              <w:t>.</w:t>
            </w:r>
          </w:p>
        </w:tc>
      </w:tr>
      <w:tr w:rsidR="00EF1479" w:rsidTr="000210CC">
        <w:tc>
          <w:tcPr>
            <w:tcW w:w="2322" w:type="dxa"/>
            <w:shd w:val="clear" w:color="auto" w:fill="auto"/>
          </w:tcPr>
          <w:p w:rsidR="00EF1479" w:rsidRDefault="00EF1479">
            <w:r>
              <w:t>92211</w:t>
            </w:r>
          </w:p>
        </w:tc>
        <w:tc>
          <w:tcPr>
            <w:tcW w:w="2322" w:type="dxa"/>
            <w:shd w:val="clear" w:color="auto" w:fill="auto"/>
          </w:tcPr>
          <w:p w:rsidR="00EF1479" w:rsidRDefault="00BA5BDF">
            <w:r>
              <w:t>241.238,00</w:t>
            </w:r>
          </w:p>
        </w:tc>
        <w:tc>
          <w:tcPr>
            <w:tcW w:w="2322" w:type="dxa"/>
            <w:shd w:val="clear" w:color="auto" w:fill="auto"/>
          </w:tcPr>
          <w:p w:rsidR="00EF1479" w:rsidRDefault="0023166E">
            <w:r>
              <w:t>236.152,22</w:t>
            </w:r>
          </w:p>
        </w:tc>
        <w:tc>
          <w:tcPr>
            <w:tcW w:w="2322" w:type="dxa"/>
            <w:shd w:val="clear" w:color="auto" w:fill="auto"/>
          </w:tcPr>
          <w:p w:rsidR="00EF1479" w:rsidRDefault="00EF23BB">
            <w:r>
              <w:t>94</w:t>
            </w:r>
            <w:r w:rsidR="002F5976">
              <w:t>.</w:t>
            </w:r>
            <w:r>
              <w:t>973,39</w:t>
            </w:r>
          </w:p>
        </w:tc>
      </w:tr>
      <w:tr w:rsidR="00EF1479" w:rsidTr="000210CC">
        <w:tc>
          <w:tcPr>
            <w:tcW w:w="2322" w:type="dxa"/>
            <w:shd w:val="clear" w:color="auto" w:fill="auto"/>
          </w:tcPr>
          <w:p w:rsidR="00EF1479" w:rsidRDefault="00EF1479">
            <w:r>
              <w:t>92212</w:t>
            </w:r>
          </w:p>
        </w:tc>
        <w:tc>
          <w:tcPr>
            <w:tcW w:w="2322" w:type="dxa"/>
            <w:shd w:val="clear" w:color="auto" w:fill="auto"/>
          </w:tcPr>
          <w:p w:rsidR="00EF1479" w:rsidRDefault="00EF1479"/>
        </w:tc>
        <w:tc>
          <w:tcPr>
            <w:tcW w:w="2322" w:type="dxa"/>
            <w:shd w:val="clear" w:color="auto" w:fill="auto"/>
          </w:tcPr>
          <w:p w:rsidR="00EF1479" w:rsidRDefault="00EF1479"/>
        </w:tc>
        <w:tc>
          <w:tcPr>
            <w:tcW w:w="2322" w:type="dxa"/>
            <w:shd w:val="clear" w:color="auto" w:fill="auto"/>
          </w:tcPr>
          <w:p w:rsidR="00EF1479" w:rsidRDefault="00EF1479"/>
        </w:tc>
      </w:tr>
      <w:tr w:rsidR="00EF1479" w:rsidTr="000210CC">
        <w:tc>
          <w:tcPr>
            <w:tcW w:w="2322" w:type="dxa"/>
            <w:shd w:val="clear" w:color="auto" w:fill="auto"/>
          </w:tcPr>
          <w:p w:rsidR="00EF1479" w:rsidRDefault="003C4034">
            <w:r>
              <w:t>92221</w:t>
            </w:r>
          </w:p>
        </w:tc>
        <w:tc>
          <w:tcPr>
            <w:tcW w:w="2322" w:type="dxa"/>
            <w:shd w:val="clear" w:color="auto" w:fill="auto"/>
          </w:tcPr>
          <w:p w:rsidR="00EF1479" w:rsidRDefault="00EF1479"/>
        </w:tc>
        <w:tc>
          <w:tcPr>
            <w:tcW w:w="2322" w:type="dxa"/>
            <w:shd w:val="clear" w:color="auto" w:fill="auto"/>
          </w:tcPr>
          <w:p w:rsidR="00EF1479" w:rsidRDefault="00EF1479"/>
        </w:tc>
        <w:tc>
          <w:tcPr>
            <w:tcW w:w="2322" w:type="dxa"/>
            <w:shd w:val="clear" w:color="auto" w:fill="auto"/>
          </w:tcPr>
          <w:p w:rsidR="00EF1479" w:rsidRDefault="00EF1479"/>
        </w:tc>
      </w:tr>
      <w:tr w:rsidR="00EF1479" w:rsidTr="000210CC">
        <w:tc>
          <w:tcPr>
            <w:tcW w:w="2322" w:type="dxa"/>
            <w:shd w:val="clear" w:color="auto" w:fill="auto"/>
          </w:tcPr>
          <w:p w:rsidR="00EF1479" w:rsidRDefault="00EF1479">
            <w:r>
              <w:t>92222</w:t>
            </w:r>
          </w:p>
        </w:tc>
        <w:tc>
          <w:tcPr>
            <w:tcW w:w="2322" w:type="dxa"/>
            <w:shd w:val="clear" w:color="auto" w:fill="auto"/>
          </w:tcPr>
          <w:p w:rsidR="00EF1479" w:rsidRDefault="00BA5BDF">
            <w:r>
              <w:t>13.377,00</w:t>
            </w:r>
          </w:p>
        </w:tc>
        <w:tc>
          <w:tcPr>
            <w:tcW w:w="2322" w:type="dxa"/>
            <w:shd w:val="clear" w:color="auto" w:fill="auto"/>
          </w:tcPr>
          <w:p w:rsidR="00EF1479" w:rsidRDefault="0023166E">
            <w:r>
              <w:t xml:space="preserve"> 72.385,83</w:t>
            </w:r>
          </w:p>
        </w:tc>
        <w:tc>
          <w:tcPr>
            <w:tcW w:w="2322" w:type="dxa"/>
            <w:shd w:val="clear" w:color="auto" w:fill="auto"/>
          </w:tcPr>
          <w:p w:rsidR="00EF1479" w:rsidRDefault="002F5976">
            <w:r>
              <w:t>155.252,12</w:t>
            </w:r>
          </w:p>
        </w:tc>
      </w:tr>
    </w:tbl>
    <w:p w:rsidR="00EF1479" w:rsidRDefault="00EF1479"/>
    <w:p w:rsidR="00EF1479" w:rsidRDefault="00EF1479"/>
    <w:p w:rsidR="0043690A" w:rsidRDefault="0043690A"/>
    <w:p w:rsidR="00D65606" w:rsidRDefault="002F5976" w:rsidP="000E7D42">
      <w:r>
        <w:t xml:space="preserve">AOP 991 i 996 - </w:t>
      </w:r>
      <w:r w:rsidR="00324E42">
        <w:t xml:space="preserve"> </w:t>
      </w:r>
      <w:r w:rsidR="000E7D42">
        <w:t>I</w:t>
      </w:r>
      <w:r w:rsidR="00D65606">
        <w:t>skazana je tuđa imovina dana na korištenje (Carnet i MZO)</w:t>
      </w:r>
      <w:r>
        <w:t xml:space="preserve">. Podatak se razlikuje jer smo na tim računima imali iskazane i obaveze po sudskim sporovima i </w:t>
      </w:r>
    </w:p>
    <w:p w:rsidR="002F5976" w:rsidRDefault="002F5976" w:rsidP="000E7D42">
      <w:r>
        <w:t>primljena jamstva. Jamstva su vraćena, a obaveze po sudskim sporovima isplaćene te su isknjiženi s računa 991 i 996.</w:t>
      </w:r>
    </w:p>
    <w:p w:rsidR="000E7D42" w:rsidRDefault="000E7D42" w:rsidP="000E7D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294"/>
        <w:gridCol w:w="1330"/>
        <w:gridCol w:w="1813"/>
        <w:gridCol w:w="1813"/>
      </w:tblGrid>
      <w:tr w:rsidR="000210CC" w:rsidTr="000210CC">
        <w:tc>
          <w:tcPr>
            <w:tcW w:w="1812" w:type="dxa"/>
            <w:shd w:val="clear" w:color="auto" w:fill="auto"/>
          </w:tcPr>
          <w:p w:rsidR="000E7D42" w:rsidRDefault="000E7D42" w:rsidP="000E7D42">
            <w:r>
              <w:t>Konto</w:t>
            </w:r>
          </w:p>
        </w:tc>
        <w:tc>
          <w:tcPr>
            <w:tcW w:w="2294" w:type="dxa"/>
            <w:shd w:val="clear" w:color="auto" w:fill="auto"/>
          </w:tcPr>
          <w:p w:rsidR="000E7D42" w:rsidRDefault="000E7D42" w:rsidP="000E7D42">
            <w:r>
              <w:t>Naziv konta</w:t>
            </w:r>
          </w:p>
        </w:tc>
        <w:tc>
          <w:tcPr>
            <w:tcW w:w="1330" w:type="dxa"/>
            <w:shd w:val="clear" w:color="auto" w:fill="auto"/>
          </w:tcPr>
          <w:p w:rsidR="000E7D42" w:rsidRDefault="000E7D42" w:rsidP="000E7D42">
            <w:r>
              <w:t>Iznos</w:t>
            </w:r>
          </w:p>
        </w:tc>
        <w:tc>
          <w:tcPr>
            <w:tcW w:w="1813" w:type="dxa"/>
            <w:shd w:val="clear" w:color="auto" w:fill="auto"/>
          </w:tcPr>
          <w:p w:rsidR="000E7D42" w:rsidRDefault="000E7D42" w:rsidP="000E7D42"/>
        </w:tc>
        <w:tc>
          <w:tcPr>
            <w:tcW w:w="1813" w:type="dxa"/>
            <w:shd w:val="clear" w:color="auto" w:fill="auto"/>
          </w:tcPr>
          <w:p w:rsidR="000E7D42" w:rsidRDefault="000E7D42" w:rsidP="000E7D42"/>
        </w:tc>
      </w:tr>
      <w:tr w:rsidR="003C4034" w:rsidTr="000210CC">
        <w:tc>
          <w:tcPr>
            <w:tcW w:w="1812" w:type="dxa"/>
            <w:shd w:val="clear" w:color="auto" w:fill="auto"/>
          </w:tcPr>
          <w:p w:rsidR="003C4034" w:rsidRDefault="003C4034" w:rsidP="000E7D42">
            <w:r>
              <w:t>99611</w:t>
            </w:r>
          </w:p>
        </w:tc>
        <w:tc>
          <w:tcPr>
            <w:tcW w:w="2294" w:type="dxa"/>
            <w:shd w:val="clear" w:color="auto" w:fill="auto"/>
          </w:tcPr>
          <w:p w:rsidR="003C4034" w:rsidRDefault="003C4034" w:rsidP="000E7D42">
            <w:r>
              <w:t>Tuđa imovina dobivena na korištenje</w:t>
            </w:r>
          </w:p>
        </w:tc>
        <w:tc>
          <w:tcPr>
            <w:tcW w:w="1330" w:type="dxa"/>
            <w:shd w:val="clear" w:color="auto" w:fill="auto"/>
          </w:tcPr>
          <w:p w:rsidR="003C4034" w:rsidRDefault="003C4034" w:rsidP="000E7D42">
            <w:r>
              <w:t>374.086,34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3C4034" w:rsidRDefault="003C4034" w:rsidP="000E7D42">
            <w:r>
              <w:t>Tableti, LCD projektori, prijenosna računala za koja nismo dobili od MZO-a Odluku o prijenosu u vlasništvo škole</w:t>
            </w:r>
          </w:p>
        </w:tc>
      </w:tr>
      <w:tr w:rsidR="003C4034" w:rsidTr="000210CC">
        <w:tc>
          <w:tcPr>
            <w:tcW w:w="1812" w:type="dxa"/>
            <w:shd w:val="clear" w:color="auto" w:fill="auto"/>
          </w:tcPr>
          <w:p w:rsidR="003C4034" w:rsidRDefault="003C4034" w:rsidP="000E7D42"/>
        </w:tc>
        <w:tc>
          <w:tcPr>
            <w:tcW w:w="2294" w:type="dxa"/>
            <w:shd w:val="clear" w:color="auto" w:fill="auto"/>
          </w:tcPr>
          <w:p w:rsidR="003C4034" w:rsidRDefault="003C4034" w:rsidP="000E7D42"/>
        </w:tc>
        <w:tc>
          <w:tcPr>
            <w:tcW w:w="1330" w:type="dxa"/>
            <w:shd w:val="clear" w:color="auto" w:fill="auto"/>
          </w:tcPr>
          <w:p w:rsidR="003C4034" w:rsidRDefault="003C4034" w:rsidP="000E7D42"/>
        </w:tc>
        <w:tc>
          <w:tcPr>
            <w:tcW w:w="3626" w:type="dxa"/>
            <w:gridSpan w:val="2"/>
            <w:shd w:val="clear" w:color="auto" w:fill="auto"/>
          </w:tcPr>
          <w:p w:rsidR="003C4034" w:rsidRPr="00F930DB" w:rsidRDefault="003C4034" w:rsidP="000E7D42"/>
        </w:tc>
      </w:tr>
      <w:tr w:rsidR="003C4034" w:rsidTr="000210CC">
        <w:tc>
          <w:tcPr>
            <w:tcW w:w="1812" w:type="dxa"/>
            <w:shd w:val="clear" w:color="auto" w:fill="auto"/>
          </w:tcPr>
          <w:p w:rsidR="003C4034" w:rsidRDefault="003C4034" w:rsidP="000E7D42"/>
        </w:tc>
        <w:tc>
          <w:tcPr>
            <w:tcW w:w="2294" w:type="dxa"/>
            <w:shd w:val="clear" w:color="auto" w:fill="auto"/>
          </w:tcPr>
          <w:p w:rsidR="003C4034" w:rsidRDefault="003C4034" w:rsidP="000E7D42"/>
        </w:tc>
        <w:tc>
          <w:tcPr>
            <w:tcW w:w="1330" w:type="dxa"/>
            <w:shd w:val="clear" w:color="auto" w:fill="auto"/>
          </w:tcPr>
          <w:p w:rsidR="003C4034" w:rsidRDefault="003C4034" w:rsidP="000E7D42"/>
        </w:tc>
        <w:tc>
          <w:tcPr>
            <w:tcW w:w="3626" w:type="dxa"/>
            <w:gridSpan w:val="2"/>
            <w:shd w:val="clear" w:color="auto" w:fill="auto"/>
          </w:tcPr>
          <w:p w:rsidR="003C4034" w:rsidRDefault="003C4034" w:rsidP="000E7D42"/>
        </w:tc>
      </w:tr>
    </w:tbl>
    <w:p w:rsidR="000E7D42" w:rsidRDefault="000E7D42" w:rsidP="000E7D42"/>
    <w:p w:rsidR="006F11F5" w:rsidRDefault="006F11F5" w:rsidP="00594DF6"/>
    <w:p w:rsidR="006120FA" w:rsidRDefault="006120FA" w:rsidP="00594DF6"/>
    <w:p w:rsidR="002B0FCD" w:rsidRPr="00594DF6" w:rsidRDefault="002B0FCD" w:rsidP="00594DF6">
      <w:r>
        <w:rPr>
          <w:b/>
          <w:bCs/>
        </w:rPr>
        <w:t>Bilješke uz obrazac PR-RAS</w:t>
      </w:r>
    </w:p>
    <w:p w:rsidR="002B0FCD" w:rsidRDefault="002B0FCD">
      <w:pPr>
        <w:rPr>
          <w:b/>
          <w:bCs/>
        </w:rPr>
      </w:pPr>
    </w:p>
    <w:p w:rsidR="002B0FCD" w:rsidRDefault="002B0FCD">
      <w:r>
        <w:t>Škola ja ostvarila prihode i rashode prema financijskom planu i sva primljena sredstva je trošila namjenski.</w:t>
      </w:r>
    </w:p>
    <w:p w:rsidR="00631EAE" w:rsidRDefault="00631EAE"/>
    <w:p w:rsidR="00354976" w:rsidRDefault="002F5976" w:rsidP="00FD1A8A">
      <w:r>
        <w:t>Račun 6</w:t>
      </w:r>
      <w:r w:rsidR="00631EAE">
        <w:t xml:space="preserve"> - </w:t>
      </w:r>
      <w:r w:rsidR="00E126F0">
        <w:t>U</w:t>
      </w:r>
      <w:r w:rsidR="009D1539">
        <w:t xml:space="preserve">kupni </w:t>
      </w:r>
      <w:r>
        <w:t>prihodi poslovanja u 2022 g. za 8</w:t>
      </w:r>
      <w:r w:rsidR="00C91016">
        <w:t xml:space="preserve"> % su veći</w:t>
      </w:r>
      <w:r w:rsidR="000627FF">
        <w:t xml:space="preserve"> u odnosu na prethodnu godinu</w:t>
      </w:r>
      <w:r>
        <w:t>. Pojašnjene  povećanja prihoda objasnit ćemo u nastavku .</w:t>
      </w:r>
    </w:p>
    <w:p w:rsidR="00354976" w:rsidRDefault="00354976" w:rsidP="00FD1A8A"/>
    <w:p w:rsidR="00631EAE" w:rsidRDefault="00631EAE"/>
    <w:p w:rsidR="009F36EA" w:rsidRDefault="00631EAE">
      <w:r>
        <w:t xml:space="preserve"> </w:t>
      </w:r>
      <w:r w:rsidR="002F5976">
        <w:t>Račun 636</w:t>
      </w:r>
      <w:r w:rsidR="009F36EA">
        <w:t xml:space="preserve"> - iskazani su prihodi koje škola ostvaruje iz državnog proračuna za plaće i  </w:t>
      </w:r>
    </w:p>
    <w:p w:rsidR="00424939" w:rsidRDefault="009F36EA">
      <w:r>
        <w:t xml:space="preserve"> materijalna prava zap</w:t>
      </w:r>
      <w:r w:rsidR="00424939">
        <w:t>oslenika po Kolektivnom ugovoru</w:t>
      </w:r>
      <w:r w:rsidR="00A6497F">
        <w:t>,</w:t>
      </w:r>
      <w:r w:rsidR="00354976">
        <w:t xml:space="preserve"> za Školsku shemu  (PDV se podmiruje iz državnog proračuna)</w:t>
      </w:r>
      <w:r w:rsidR="00776E6B">
        <w:t>,</w:t>
      </w:r>
      <w:r w:rsidR="00A6497F">
        <w:t xml:space="preserve"> nabavu na</w:t>
      </w:r>
      <w:r w:rsidR="005B598F">
        <w:t>stavnih lektire</w:t>
      </w:r>
      <w:r w:rsidR="00776E6B">
        <w:t xml:space="preserve"> i nabave udžbenika vezano uz eksperimentalni program „Škola za život“.</w:t>
      </w:r>
    </w:p>
    <w:p w:rsidR="005B598F" w:rsidRDefault="005B598F">
      <w:r>
        <w:t>Prihodi iz nenadležnog p</w:t>
      </w:r>
      <w:r w:rsidR="002E319B">
        <w:t>roračuna participiraju  sa 77,29</w:t>
      </w:r>
      <w:r>
        <w:t xml:space="preserve"> % u ukupno ostvarenim prihodima poslovanja</w:t>
      </w:r>
      <w:r w:rsidR="002E319B">
        <w:t>, a veći su u odnosu na prethodnu godinu zbog  povećanja  plaća i iznosa materijalnih prava koja se isplaćuju radnicima, te isplate plaća po sudskim tužbama.</w:t>
      </w:r>
    </w:p>
    <w:p w:rsidR="00424939" w:rsidRDefault="00424939"/>
    <w:p w:rsidR="009F36EA" w:rsidRDefault="002E319B">
      <w:r>
        <w:t>AOP 6362</w:t>
      </w:r>
      <w:r w:rsidR="00424939">
        <w:t xml:space="preserve"> - iskazani su prihodi  koje smo dobili iz državnog proraču</w:t>
      </w:r>
      <w:r w:rsidR="00C91016">
        <w:t>na za nabavu udžbenika i</w:t>
      </w:r>
      <w:r w:rsidR="00776E6B">
        <w:t xml:space="preserve"> </w:t>
      </w:r>
      <w:r w:rsidR="00424939">
        <w:t>knjiga za školsku knjižnicu</w:t>
      </w:r>
      <w:r w:rsidR="000627FF">
        <w:t xml:space="preserve">  </w:t>
      </w:r>
      <w:r w:rsidR="00481580">
        <w:t xml:space="preserve">             </w:t>
      </w:r>
    </w:p>
    <w:p w:rsidR="009A38A5" w:rsidRDefault="009A38A5"/>
    <w:p w:rsidR="009A38A5" w:rsidRDefault="002E319B">
      <w:r>
        <w:t>AOP  638</w:t>
      </w:r>
      <w:r w:rsidR="009A38A5">
        <w:t xml:space="preserve"> - iskaza</w:t>
      </w:r>
      <w:r w:rsidR="000627FF">
        <w:t>n je  prihod ostvaren</w:t>
      </w:r>
      <w:r w:rsidR="009A38A5">
        <w:t xml:space="preserve"> iz sredstva EU fondova</w:t>
      </w:r>
      <w:r w:rsidR="00C91016">
        <w:t xml:space="preserve"> za pomoćnike u nastavi, projekt prehrane i školsku shemu.</w:t>
      </w:r>
      <w:r>
        <w:t xml:space="preserve"> Iznos je manji u odnosu prethodnu godinu zbog manjeg broja pomoćnika u nastavi.</w:t>
      </w:r>
    </w:p>
    <w:p w:rsidR="005D33D3" w:rsidRDefault="005D33D3"/>
    <w:p w:rsidR="002B0FCD" w:rsidRDefault="002B0FCD">
      <w:r>
        <w:t>Osim prihoda iz proračuna  škola ostvaruje i prihod od imovine iskazan na</w:t>
      </w:r>
      <w:r w:rsidR="00C51754">
        <w:t>:</w:t>
      </w:r>
    </w:p>
    <w:p w:rsidR="002B0FCD" w:rsidRDefault="002B0FCD"/>
    <w:p w:rsidR="002B0FCD" w:rsidRDefault="002E319B">
      <w:r>
        <w:t>Račun 6413</w:t>
      </w:r>
      <w:r w:rsidR="002B0FCD">
        <w:t xml:space="preserve"> – prihodi od kamata na sredstva na redovnim žiro</w:t>
      </w:r>
      <w:r w:rsidR="005B598F">
        <w:t xml:space="preserve"> računu </w:t>
      </w:r>
    </w:p>
    <w:p w:rsidR="002B0FCD" w:rsidRDefault="002B0FCD"/>
    <w:p w:rsidR="005B598F" w:rsidRDefault="002E319B">
      <w:r>
        <w:t>AOP 6526</w:t>
      </w:r>
      <w:r w:rsidR="002B0FCD">
        <w:t xml:space="preserve"> – iskaz</w:t>
      </w:r>
      <w:r w:rsidR="008248C7">
        <w:t>ani su prihodi od uplata roditelja</w:t>
      </w:r>
      <w:r w:rsidR="002B0FCD">
        <w:t xml:space="preserve"> za</w:t>
      </w:r>
      <w:r w:rsidR="008248C7">
        <w:t xml:space="preserve"> prehranu u školskoj kuhinji</w:t>
      </w:r>
      <w:r w:rsidR="002B0FCD">
        <w:t>, produženi boravak,  testove, terensku nastavu, ulaznice za predstave i sl.</w:t>
      </w:r>
      <w:r w:rsidR="005B598F">
        <w:t xml:space="preserve"> </w:t>
      </w:r>
    </w:p>
    <w:p w:rsidR="00464CF6" w:rsidRDefault="005B598F">
      <w:r>
        <w:t>Indeks od</w:t>
      </w:r>
      <w:r w:rsidR="002E319B">
        <w:t>nosa na prethodnu godinu je 110,1</w:t>
      </w:r>
      <w:r w:rsidR="00C91016">
        <w:t xml:space="preserve"> jer su ostvareni </w:t>
      </w:r>
      <w:r w:rsidR="00464CF6">
        <w:t xml:space="preserve"> prihodi </w:t>
      </w:r>
      <w:r w:rsidR="002E319B">
        <w:t xml:space="preserve"> prethodne godine bili</w:t>
      </w:r>
      <w:r w:rsidR="00C91016">
        <w:t xml:space="preserve"> manji </w:t>
      </w:r>
      <w:r w:rsidR="002E319B">
        <w:t>zbog  Covida-19</w:t>
      </w:r>
      <w:r w:rsidR="00464CF6">
        <w:t>.</w:t>
      </w:r>
    </w:p>
    <w:p w:rsidR="002B0FCD" w:rsidRDefault="00984928">
      <w:r>
        <w:t xml:space="preserve"> </w:t>
      </w:r>
    </w:p>
    <w:p w:rsidR="00984928" w:rsidRDefault="00984928"/>
    <w:p w:rsidR="002B0FCD" w:rsidRDefault="0080632B">
      <w:r>
        <w:t>Račun</w:t>
      </w:r>
      <w:r w:rsidR="002E319B">
        <w:t xml:space="preserve"> 661</w:t>
      </w:r>
      <w:r w:rsidR="002B0FCD">
        <w:t xml:space="preserve"> – iskazani su </w:t>
      </w:r>
      <w:r w:rsidR="00464CF6">
        <w:t xml:space="preserve">prihodi od </w:t>
      </w:r>
      <w:r w:rsidR="00223202">
        <w:t xml:space="preserve"> od iznajmljivanja dvorane</w:t>
      </w:r>
      <w:r w:rsidR="00984928">
        <w:t xml:space="preserve"> i prodaje starog papira</w:t>
      </w:r>
      <w:r>
        <w:t xml:space="preserve"> i učeničkih radova</w:t>
      </w:r>
      <w:r w:rsidR="00984928">
        <w:t>.</w:t>
      </w:r>
    </w:p>
    <w:p w:rsidR="00464CF6" w:rsidRDefault="0080632B">
      <w:r>
        <w:t>Ostvareni prihodi su veći</w:t>
      </w:r>
      <w:r w:rsidR="00464CF6">
        <w:t xml:space="preserve"> u odnosu na prethodnu godinu  j</w:t>
      </w:r>
      <w:r>
        <w:t>er se zbog normalizacije  i ublažavanje  epidemioloških mjera dvorana redovitije iznajmljivala, provedene su</w:t>
      </w:r>
      <w:r w:rsidR="00464CF6">
        <w:t xml:space="preserve"> akcije skupljanja starog papira</w:t>
      </w:r>
      <w:r>
        <w:t xml:space="preserve"> održavane su manifestacije na kojima su se prodavali učenički proizvodi.</w:t>
      </w:r>
      <w:r w:rsidR="00464CF6">
        <w:t>.</w:t>
      </w:r>
    </w:p>
    <w:p w:rsidR="009A38A5" w:rsidRDefault="009A38A5"/>
    <w:p w:rsidR="007B61F5" w:rsidRDefault="0080632B">
      <w:r>
        <w:t>Račun 663</w:t>
      </w:r>
      <w:r w:rsidR="009A38A5">
        <w:t xml:space="preserve"> - iskazani su prihodi od donacij</w:t>
      </w:r>
      <w:r w:rsidR="008248C7">
        <w:t>a</w:t>
      </w:r>
      <w:r>
        <w:t>. Kapotalne donacije se odnose na donaciju knjiga za školsku knjižnicu.</w:t>
      </w:r>
    </w:p>
    <w:p w:rsidR="00C91016" w:rsidRDefault="00C91016"/>
    <w:p w:rsidR="007B61F5" w:rsidRDefault="001E439B">
      <w:r>
        <w:t>Račun</w:t>
      </w:r>
      <w:r w:rsidR="0080632B">
        <w:t xml:space="preserve"> 6711</w:t>
      </w:r>
      <w:r w:rsidR="007B61F5">
        <w:t xml:space="preserve"> - iskazani su prihodi ostvareni iz nadležnog proračuna odnosno Grada Čakovca za </w:t>
      </w:r>
    </w:p>
    <w:p w:rsidR="009C06BC" w:rsidRDefault="007B61F5">
      <w:r>
        <w:t xml:space="preserve"> materijalno poslovanje iz sredstava decentraliziranih funkcija, za financiranj</w:t>
      </w:r>
      <w:r w:rsidR="00DA38A0">
        <w:t>e</w:t>
      </w:r>
      <w:r>
        <w:t xml:space="preserve"> produženog boravka, za financiranje  pomoćnika u nastavi (dio koji je obveza Gra</w:t>
      </w:r>
      <w:r w:rsidR="00DA38A0">
        <w:t>da Čakovca) t</w:t>
      </w:r>
      <w:r w:rsidR="00464CF6">
        <w:t>e ostalih potreba</w:t>
      </w:r>
      <w:r>
        <w:t xml:space="preserve">. </w:t>
      </w:r>
      <w:r w:rsidR="00464CF6">
        <w:t xml:space="preserve">Indeks ostvarenih prihoda </w:t>
      </w:r>
      <w:r w:rsidR="00C91016">
        <w:t xml:space="preserve">u </w:t>
      </w:r>
      <w:r w:rsidR="0080632B">
        <w:t>odnosu na prošlu godinu je 122,2</w:t>
      </w:r>
      <w:r w:rsidR="00C91016">
        <w:t>.</w:t>
      </w:r>
      <w:r w:rsidR="0080632B">
        <w:t xml:space="preserve"> Do povećanja je došlo jer je  Grad Čakovec u 2022. godini isplatio  školi  dugovanje za produžni boravak iz 2021. godine i financirao je prehranu učenika u školskoj kuhinji  od 01.09.2022. godine.</w:t>
      </w:r>
    </w:p>
    <w:p w:rsidR="00464CF6" w:rsidRDefault="00464CF6"/>
    <w:p w:rsidR="00464CF6" w:rsidRDefault="00464CF6"/>
    <w:p w:rsidR="00490330" w:rsidRDefault="001E439B" w:rsidP="00490330">
      <w:r>
        <w:t>Račun 311</w:t>
      </w:r>
      <w:r w:rsidR="00487753">
        <w:t xml:space="preserve"> – rashodi za plaće</w:t>
      </w:r>
      <w:r w:rsidR="002B0FCD">
        <w:t xml:space="preserve"> su</w:t>
      </w:r>
      <w:r w:rsidR="001E6BB3">
        <w:t xml:space="preserve"> veći</w:t>
      </w:r>
      <w:r>
        <w:t xml:space="preserve">  za 3</w:t>
      </w:r>
      <w:r w:rsidR="00984928">
        <w:t xml:space="preserve"> </w:t>
      </w:r>
      <w:r w:rsidR="00490330">
        <w:t>%</w:t>
      </w:r>
      <w:r w:rsidR="002B0FCD">
        <w:t xml:space="preserve"> </w:t>
      </w:r>
      <w:r w:rsidR="00BB1866">
        <w:t xml:space="preserve"> u odnosu na prethodnu g</w:t>
      </w:r>
      <w:r w:rsidR="00984928">
        <w:t>odinu. Razlog tome je</w:t>
      </w:r>
      <w:r w:rsidR="00487753">
        <w:t xml:space="preserve"> rast  plaća.</w:t>
      </w:r>
    </w:p>
    <w:p w:rsidR="001E439B" w:rsidRDefault="001E439B" w:rsidP="00490330">
      <w:r>
        <w:t xml:space="preserve"> </w:t>
      </w:r>
    </w:p>
    <w:p w:rsidR="001E439B" w:rsidRDefault="001E439B" w:rsidP="00490330">
      <w:r>
        <w:t>Račun 3113 – rashodi plaća za prekovremeni rad su veći u odnosu na prethodnu godinu jer je bio već broj zamjena za bolovanja, a i održavali su se stručni skupovi, terenske nastave i natjecanja</w:t>
      </w:r>
      <w:r w:rsidR="004B2584">
        <w:t xml:space="preserve"> zbog</w:t>
      </w:r>
      <w:r>
        <w:t xml:space="preserve"> kojih je za učitelje trebalo organizirati zamjenu.</w:t>
      </w:r>
    </w:p>
    <w:p w:rsidR="00487753" w:rsidRDefault="00487753" w:rsidP="00490330"/>
    <w:p w:rsidR="00487753" w:rsidRDefault="001E439B" w:rsidP="00490330">
      <w:r>
        <w:t>Račun</w:t>
      </w:r>
      <w:r w:rsidR="004B2584">
        <w:t xml:space="preserve"> 312</w:t>
      </w:r>
      <w:r w:rsidR="00487753">
        <w:t xml:space="preserve"> – ostali rasho</w:t>
      </w:r>
      <w:r w:rsidR="004B2584">
        <w:t>di za zaposlene veći su za 2,8</w:t>
      </w:r>
      <w:r w:rsidR="004231C2">
        <w:t xml:space="preserve"> %</w:t>
      </w:r>
      <w:r w:rsidR="00487753">
        <w:t xml:space="preserve"> u odnosu na pr</w:t>
      </w:r>
      <w:r w:rsidR="004B2584">
        <w:t>ethodnu  godinu jer su povećani iznosi nekim materijalnih prava radnika ( božićnica i dječji dar)</w:t>
      </w:r>
    </w:p>
    <w:p w:rsidR="00487753" w:rsidRDefault="00487753" w:rsidP="00490330"/>
    <w:p w:rsidR="00487753" w:rsidRDefault="00667A6A" w:rsidP="00490330">
      <w:r>
        <w:t xml:space="preserve">Račun  321 </w:t>
      </w:r>
      <w:r w:rsidR="00487753">
        <w:t xml:space="preserve"> – Nakna</w:t>
      </w:r>
      <w:r w:rsidR="004231C2">
        <w:t>de troškova zaposlenima su veći</w:t>
      </w:r>
      <w:r w:rsidR="00487753">
        <w:t xml:space="preserve"> u od</w:t>
      </w:r>
      <w:r w:rsidR="004B2584">
        <w:t>nosu na prethodnu godinu za 50</w:t>
      </w:r>
      <w:r w:rsidR="00487753">
        <w:t xml:space="preserve"> %</w:t>
      </w:r>
      <w:r w:rsidR="004B2584">
        <w:t xml:space="preserve"> jer su se  normalizirale epidemiološke mjere  te su radnici sudjelovali na stručnim skupovima, učitelji pratili učenike na natjecanja, terenske nastave u sl.</w:t>
      </w:r>
      <w:r w:rsidR="00E4184B">
        <w:t>, a i realizirana su putovanja  vezana za Erazmus+ projekte.</w:t>
      </w:r>
    </w:p>
    <w:p w:rsidR="00667A6A" w:rsidRDefault="00667A6A" w:rsidP="00490330"/>
    <w:p w:rsidR="00667A6A" w:rsidRDefault="00667A6A" w:rsidP="00490330">
      <w:r>
        <w:t>Račun 3222 – iskazani su troškovi namirnica za školsku kuhinju, a manji su u odnosu na prethodnu godinu jer se trošak nabave namirnica za školsku kuhinju od01.09.2022. iskazuje na računu 37224.</w:t>
      </w:r>
    </w:p>
    <w:p w:rsidR="00A069A5" w:rsidRDefault="00A069A5" w:rsidP="00490330"/>
    <w:p w:rsidR="005F5FA2" w:rsidRDefault="005F5FA2" w:rsidP="00490330"/>
    <w:p w:rsidR="005F5FA2" w:rsidRDefault="00667A6A" w:rsidP="00490330">
      <w:r>
        <w:t xml:space="preserve">Račun 3223 </w:t>
      </w:r>
      <w:r w:rsidR="005F5FA2">
        <w:t>–</w:t>
      </w:r>
      <w:r w:rsidR="00A069A5">
        <w:t xml:space="preserve"> indeks</w:t>
      </w:r>
      <w:r w:rsidR="005F5FA2">
        <w:t xml:space="preserve"> rash</w:t>
      </w:r>
      <w:r w:rsidR="00A069A5">
        <w:t>oda</w:t>
      </w:r>
      <w:r w:rsidR="00D64F40">
        <w:t xml:space="preserve"> za energiju je</w:t>
      </w:r>
      <w:r w:rsidR="00A069A5">
        <w:t xml:space="preserve"> </w:t>
      </w:r>
      <w:r>
        <w:t>144,8</w:t>
      </w:r>
      <w:r w:rsidR="005F5FA2">
        <w:t xml:space="preserve"> u odnosu n</w:t>
      </w:r>
      <w:r w:rsidR="00A069A5">
        <w:t>a prethodnu go</w:t>
      </w:r>
      <w:r w:rsidR="00D64F40">
        <w:t>dinu zbog znatnog povećanja cijena energenata od 1.11.2021.</w:t>
      </w:r>
    </w:p>
    <w:p w:rsidR="00667A6A" w:rsidRDefault="00667A6A" w:rsidP="00490330"/>
    <w:p w:rsidR="00667A6A" w:rsidRDefault="00667A6A" w:rsidP="00490330">
      <w:r>
        <w:t>Račun 3225 – izdaci za sitni inventar su znatno manji u odnosu na prethodnu godinu zbog nedostatka sredstava uslijed povećanja cijena energenata.</w:t>
      </w:r>
    </w:p>
    <w:p w:rsidR="007E3739" w:rsidRDefault="007E3739" w:rsidP="00490330"/>
    <w:p w:rsidR="00490330" w:rsidRDefault="00E4184B" w:rsidP="00490330">
      <w:r>
        <w:t>Račun</w:t>
      </w:r>
      <w:r w:rsidR="00BC2D9D">
        <w:t xml:space="preserve"> 3231 – Indeks povećanja usluga telefona, pošte i prijevoza  je 205,6  tekuća godina u odnosu na prethodnu također zbog ublažav</w:t>
      </w:r>
      <w:r w:rsidR="00D3584C">
        <w:t>a</w:t>
      </w:r>
      <w:r w:rsidR="00BC2D9D">
        <w:t xml:space="preserve">nja  epidemioloških mjera </w:t>
      </w:r>
      <w:r w:rsidR="00D3584C">
        <w:t>te su realizirana razna natjecanja i  smotre na koje je trebalo organizirati i platiti prijevoz učenika.</w:t>
      </w:r>
    </w:p>
    <w:p w:rsidR="00D3584C" w:rsidRDefault="00D3584C" w:rsidP="00490330"/>
    <w:p w:rsidR="00D3584C" w:rsidRDefault="00D3584C" w:rsidP="00490330">
      <w:r>
        <w:lastRenderedPageBreak/>
        <w:t>Račun 3232 – usluge tekućeg i in</w:t>
      </w:r>
      <w:r w:rsidR="00D65CAB">
        <w:t>v</w:t>
      </w:r>
      <w:r>
        <w:t xml:space="preserve">esticijskog održavanja su veće za 36,1 % u odnosu na prethodnu godinu  zbog </w:t>
      </w:r>
      <w:r w:rsidR="00D65CAB">
        <w:t>plaćanja tehničke podrške IKT sustava, ,a i servisi koji se moraju obaviti svake dvije godine su obavljeni  u 2022.</w:t>
      </w:r>
    </w:p>
    <w:p w:rsidR="00D65CAB" w:rsidRDefault="00D65CAB" w:rsidP="00490330"/>
    <w:p w:rsidR="00D65CAB" w:rsidRDefault="00D65CAB" w:rsidP="00490330">
      <w:r>
        <w:t>Račun 3236 – izdaci za zdravstvene i veterinarske  usluge su  veći za 31,1 %  zbog povećanje  iznosa za sistematske preglede na koje svake godine ima pravo j3 zaposlenika.</w:t>
      </w:r>
    </w:p>
    <w:p w:rsidR="00D65CAB" w:rsidRDefault="00D65CAB" w:rsidP="00490330"/>
    <w:p w:rsidR="00D65CAB" w:rsidRDefault="00D65CAB" w:rsidP="00490330">
      <w:r>
        <w:t>Račun 3239 – izdaci za ostale usluge</w:t>
      </w:r>
      <w:r w:rsidR="00AA6F30">
        <w:t xml:space="preserve">  imaju indeks povećanja 370,6 tekuća u odnosu na prethodnu godinu jer smo 2022. godine imali proslavu 50 jubileja škole te se izdaci za ostale usluge  uglavnom odnose u tu svrhu.</w:t>
      </w:r>
    </w:p>
    <w:p w:rsidR="006F2120" w:rsidRDefault="006F2120"/>
    <w:p w:rsidR="00526B4C" w:rsidRDefault="001E6E9C">
      <w:r>
        <w:t>Račun</w:t>
      </w:r>
      <w:r w:rsidR="00526B4C">
        <w:t xml:space="preserve"> </w:t>
      </w:r>
      <w:r w:rsidR="00AA6F30">
        <w:t>324</w:t>
      </w:r>
      <w:r w:rsidR="006F2120">
        <w:t xml:space="preserve"> </w:t>
      </w:r>
      <w:r w:rsidR="00A069A5">
        <w:t>– naknade troškova osobama  izvan radnog od</w:t>
      </w:r>
      <w:r w:rsidR="00AA6F30">
        <w:t>nosa  su veći</w:t>
      </w:r>
      <w:r w:rsidR="005F1F79">
        <w:t xml:space="preserve"> u odnosu na pr</w:t>
      </w:r>
      <w:r w:rsidR="00AA6F30">
        <w:t>ethodnu godinu, a odnose se na  realizaciju putovanja učenika Erazmus projektom.</w:t>
      </w:r>
    </w:p>
    <w:p w:rsidR="003B0EA0" w:rsidRDefault="003B0EA0"/>
    <w:p w:rsidR="005F1F79" w:rsidRDefault="001E6E9C">
      <w:r>
        <w:t>Račun 329  – su veći  u odnosi na prethodnu godinu 276,2 %  zbog većih troškova na računu 3295, 3296 – iskazane su  pristojbe za sudske tužbe i troškovi sudskih postupaka, a na računu 3299 iskazani su izdaci za terenske nastave,  ulaznice za posjet učenika kazalištu i sl.</w:t>
      </w:r>
    </w:p>
    <w:p w:rsidR="006F2120" w:rsidRDefault="006F2120"/>
    <w:p w:rsidR="001E6E9C" w:rsidRDefault="001E6E9C">
      <w:r>
        <w:t xml:space="preserve"> Račun 34 – Financijski rashodi  odnose se na  naknadu za platni promet i zatezne kamate isplaćene radnicima za plaće po sudskim tužbama.</w:t>
      </w:r>
    </w:p>
    <w:p w:rsidR="001574DE" w:rsidRDefault="001574DE"/>
    <w:p w:rsidR="001574DE" w:rsidRDefault="001574DE">
      <w:r>
        <w:t>Račun 3721 sadrži izdatke koji se odnose na naknade troškova prijevoza učenika s teškoćama i povrat dijela iznosa za radne bilježnice. Prethodne godine su ti izdaci bili iskazani na računu 3722.</w:t>
      </w:r>
    </w:p>
    <w:p w:rsidR="001574DE" w:rsidRDefault="001574DE"/>
    <w:p w:rsidR="001574DE" w:rsidRDefault="001574DE">
      <w:r>
        <w:t>Račun 3722 sadrži izdatke  za radne udžbenike i prehranu učenika.</w:t>
      </w:r>
    </w:p>
    <w:p w:rsidR="00526B4C" w:rsidRDefault="00526B4C"/>
    <w:p w:rsidR="00F936D5" w:rsidRDefault="001574DE">
      <w:r>
        <w:t>Račun  92211</w:t>
      </w:r>
      <w:r w:rsidR="00D64F40">
        <w:t xml:space="preserve">– preneseni višak prihoda poslovanja je različit u odnosu na AOP 636  Izvještajno razdoblje prethodne godine – Višak prihoda i primitaka raspoloživ u sljedećem  razdoblju  jer smo </w:t>
      </w:r>
      <w:r>
        <w:t>u 2022</w:t>
      </w:r>
      <w:r w:rsidR="00C61D75">
        <w:t>.</w:t>
      </w:r>
      <w:r w:rsidR="00F936D5">
        <w:t xml:space="preserve"> temeljem Odluke Školskog odbora teretili višak prihoda poslovanja za:</w:t>
      </w:r>
    </w:p>
    <w:p w:rsidR="00716BF0" w:rsidRDefault="00F936D5" w:rsidP="00F936D5">
      <w:pPr>
        <w:pStyle w:val="Odlomakpopisa"/>
        <w:numPr>
          <w:ilvl w:val="0"/>
          <w:numId w:val="10"/>
        </w:numPr>
      </w:pPr>
      <w:r>
        <w:t>1.566,64 kn  - povrat u državni proračun za školsku shemu</w:t>
      </w:r>
    </w:p>
    <w:p w:rsidR="00F936D5" w:rsidRDefault="00F936D5" w:rsidP="00F936D5">
      <w:pPr>
        <w:pStyle w:val="Odlomakpopisa"/>
        <w:numPr>
          <w:ilvl w:val="0"/>
          <w:numId w:val="10"/>
        </w:numPr>
      </w:pPr>
      <w:r>
        <w:t>2.566,33 kn – usklađivanje troškova školske kuhinje s Centrom za odgoj i obrazovanje</w:t>
      </w:r>
    </w:p>
    <w:p w:rsidR="00F936D5" w:rsidRDefault="00F936D5" w:rsidP="00F936D5">
      <w:pPr>
        <w:pStyle w:val="Odlomakpopisa"/>
        <w:numPr>
          <w:ilvl w:val="0"/>
          <w:numId w:val="10"/>
        </w:numPr>
      </w:pPr>
      <w:r>
        <w:t>13.377,01 kn  - pokriće manjka prihoda od nefinancijske imovine</w:t>
      </w:r>
    </w:p>
    <w:p w:rsidR="00F936D5" w:rsidRDefault="00F936D5" w:rsidP="00F936D5"/>
    <w:p w:rsidR="00F936D5" w:rsidRDefault="00F936D5" w:rsidP="00F936D5">
      <w:r>
        <w:t>Račun 7211 -  iskazani su  prihodi od prodaje stanova na koje je postojalo stanarsko pravo</w:t>
      </w:r>
    </w:p>
    <w:p w:rsidR="00F936D5" w:rsidRDefault="00F936D5" w:rsidP="00F936D5"/>
    <w:p w:rsidR="00F936D5" w:rsidRDefault="00F936D5" w:rsidP="00F936D5">
      <w:r>
        <w:t>Račun 4123 – iskazani su izdaci za trogodišnje licence za potrebe nastave</w:t>
      </w:r>
    </w:p>
    <w:p w:rsidR="00F936D5" w:rsidRDefault="00F936D5" w:rsidP="00F936D5"/>
    <w:p w:rsidR="00F936D5" w:rsidRDefault="00F936D5" w:rsidP="00F936D5">
      <w:r>
        <w:t>Račun 4221 – iskazani su izdaci za nabavu u LCD projektora i namještaj za kabinete</w:t>
      </w:r>
    </w:p>
    <w:p w:rsidR="00F936D5" w:rsidRDefault="00F936D5" w:rsidP="00F936D5">
      <w:r>
        <w:t>Račun 4226 – nabava glazbenih instrumenata</w:t>
      </w:r>
    </w:p>
    <w:p w:rsidR="00F936D5" w:rsidRDefault="00F936D5" w:rsidP="00F936D5">
      <w:r>
        <w:t>Račun 424</w:t>
      </w:r>
      <w:r w:rsidR="00BB559E">
        <w:t>1 – nabava knjiga za knjižnicu i udžbenika koji se koriste više godina</w:t>
      </w:r>
    </w:p>
    <w:p w:rsidR="00BB559E" w:rsidRDefault="00BB559E" w:rsidP="00F936D5"/>
    <w:p w:rsidR="00BB559E" w:rsidRDefault="00BB559E" w:rsidP="00F936D5">
      <w:r>
        <w:t>Na  računima nabave kapitalne imovine je visoki indeks tekuće u odnosu na prethodnu godinu jer to nisu kontinuirani rashodi  već se oprema nabavlja prema potrebama, a potrebe su različite iz godine u godinu.</w:t>
      </w:r>
    </w:p>
    <w:p w:rsidR="00F936D5" w:rsidRDefault="00F936D5"/>
    <w:p w:rsidR="00C61D75" w:rsidRDefault="00C61D75"/>
    <w:p w:rsidR="00716BF0" w:rsidRDefault="00BB559E">
      <w:r>
        <w:t>Šifra Y002</w:t>
      </w:r>
      <w:r w:rsidR="00C61D75">
        <w:t xml:space="preserve">- </w:t>
      </w:r>
      <w:r w:rsidR="00716BF0">
        <w:t>iskazani manjak prihoda od nefinancijske imovine</w:t>
      </w:r>
      <w:r>
        <w:t xml:space="preserve"> iznosi 155.252,12, a</w:t>
      </w:r>
      <w:r w:rsidR="00716BF0">
        <w:t xml:space="preserve">  nakon korekcije rezul</w:t>
      </w:r>
      <w:r w:rsidR="00D868F5">
        <w:t>tata</w:t>
      </w:r>
      <w:r>
        <w:t xml:space="preserve"> manj</w:t>
      </w:r>
      <w:r w:rsidR="00DF4069">
        <w:t>a</w:t>
      </w:r>
      <w:r>
        <w:t xml:space="preserve">k prihoda je </w:t>
      </w:r>
      <w:r w:rsidR="00D868F5">
        <w:t xml:space="preserve"> umanjen za prihode </w:t>
      </w:r>
      <w:r w:rsidR="00F838E5">
        <w:t xml:space="preserve"> za nabavu kap. </w:t>
      </w:r>
      <w:r w:rsidR="004E5129">
        <w:t xml:space="preserve">imovine </w:t>
      </w:r>
      <w:r w:rsidR="00C61D75">
        <w:t xml:space="preserve">i kapitalne </w:t>
      </w:r>
      <w:r w:rsidR="00C61D75">
        <w:lastRenderedPageBreak/>
        <w:t>donacije</w:t>
      </w:r>
      <w:r w:rsidR="004E5129">
        <w:t xml:space="preserve"> iznosu od </w:t>
      </w:r>
      <w:r>
        <w:t>82.866,29</w:t>
      </w:r>
      <w:r w:rsidR="00BC23BE">
        <w:t xml:space="preserve"> </w:t>
      </w:r>
      <w:r w:rsidR="00716BF0">
        <w:t xml:space="preserve"> kn</w:t>
      </w:r>
      <w:r w:rsidR="00C61D75">
        <w:t xml:space="preserve">  te konačno iznosi  </w:t>
      </w:r>
      <w:r>
        <w:t>72.385,83 k</w:t>
      </w:r>
      <w:r w:rsidR="00941ECF">
        <w:t xml:space="preserve"> kn  -  račun 92222</w:t>
      </w:r>
      <w:r w:rsidR="00F838E5">
        <w:t>, obrazac. BIL.</w:t>
      </w:r>
    </w:p>
    <w:p w:rsidR="00B05845" w:rsidRDefault="00B05845"/>
    <w:p w:rsidR="00B05845" w:rsidRDefault="00B05845"/>
    <w:p w:rsidR="00BC23BE" w:rsidRDefault="00BC23BE"/>
    <w:p w:rsidR="003B0EA0" w:rsidRDefault="003B0EA0"/>
    <w:p w:rsidR="00BD3703" w:rsidRDefault="00716BF0">
      <w:r>
        <w:t xml:space="preserve"> </w:t>
      </w:r>
    </w:p>
    <w:p w:rsidR="00BD3703" w:rsidRDefault="00BD3703">
      <w:pPr>
        <w:rPr>
          <w:b/>
        </w:rPr>
      </w:pPr>
      <w:r w:rsidRPr="00BD3703">
        <w:rPr>
          <w:b/>
        </w:rPr>
        <w:t>Bilješke uz obrazac RAS -funkcijski</w:t>
      </w:r>
    </w:p>
    <w:p w:rsidR="0076052E" w:rsidRDefault="0076052E">
      <w:pPr>
        <w:rPr>
          <w:b/>
        </w:rPr>
      </w:pPr>
    </w:p>
    <w:p w:rsidR="0076052E" w:rsidRPr="0076052E" w:rsidRDefault="00EE5622">
      <w:r>
        <w:t>Šifra 0912</w:t>
      </w:r>
      <w:r w:rsidR="0076052E" w:rsidRPr="0076052E">
        <w:t xml:space="preserve"> -  iskazani su podaci  o rashodima poslovanja i rashodima  nefinancijske </w:t>
      </w:r>
    </w:p>
    <w:p w:rsidR="0076052E" w:rsidRPr="0076052E" w:rsidRDefault="0076052E">
      <w:r w:rsidRPr="0076052E">
        <w:t xml:space="preserve">                    imovine</w:t>
      </w:r>
    </w:p>
    <w:p w:rsidR="0076052E" w:rsidRPr="0076052E" w:rsidRDefault="0076052E"/>
    <w:p w:rsidR="0076052E" w:rsidRPr="0076052E" w:rsidRDefault="00EE5622">
      <w:r>
        <w:t>Šifra 096</w:t>
      </w:r>
      <w:r w:rsidR="0076052E" w:rsidRPr="0076052E">
        <w:t xml:space="preserve"> - iskazani su podaci o troškovima prehrane u školskoj kuhinji</w:t>
      </w:r>
      <w:r w:rsidR="00327867">
        <w:t xml:space="preserve"> (školska užina i prehrana učenika u produženom boravku</w:t>
      </w:r>
      <w:r w:rsidR="00DA344C">
        <w:t xml:space="preserve"> i ostali povezani troškovi uz prehranu učenika</w:t>
      </w:r>
      <w:r w:rsidR="00327867">
        <w:t>)</w:t>
      </w:r>
    </w:p>
    <w:p w:rsidR="00FA1E7B" w:rsidRDefault="00FA1E7B">
      <w:pPr>
        <w:pStyle w:val="Naslov1"/>
        <w:rPr>
          <w:u w:val="none"/>
        </w:rPr>
      </w:pPr>
    </w:p>
    <w:p w:rsidR="002B0FCD" w:rsidRDefault="002B0FCD">
      <w:pPr>
        <w:pStyle w:val="Naslov1"/>
        <w:rPr>
          <w:b/>
          <w:bCs/>
        </w:rPr>
      </w:pPr>
      <w:r>
        <w:rPr>
          <w:b/>
          <w:bCs/>
        </w:rPr>
        <w:t>Bilješke uz obrazac OBVEZE</w:t>
      </w:r>
    </w:p>
    <w:p w:rsidR="002B0FCD" w:rsidRDefault="002B0FCD"/>
    <w:p w:rsidR="002B0FCD" w:rsidRDefault="00EE5622" w:rsidP="00EE5622">
      <w:r>
        <w:t xml:space="preserve">Šifra V010 – odnosi se na obavezu prema državnom proračunu za isplaćena bolovanja na teret HZZO-a </w:t>
      </w:r>
    </w:p>
    <w:p w:rsidR="00EE5622" w:rsidRDefault="00EE5622">
      <w:r>
        <w:t xml:space="preserve">       </w:t>
      </w:r>
    </w:p>
    <w:p w:rsidR="002B0FCD" w:rsidRDefault="00EE5622" w:rsidP="00EE5622">
      <w:r>
        <w:t xml:space="preserve">Šifra ND23 -  </w:t>
      </w:r>
      <w:r w:rsidR="002B0FCD">
        <w:t>obaveze za plaću za 12. mjesec i obveze po računima od dobavljača za materijalne rashode, a koji</w:t>
      </w:r>
      <w:r w:rsidR="00DA344C">
        <w:t xml:space="preserve"> će biti </w:t>
      </w:r>
      <w:r w:rsidR="00C91D79">
        <w:t>plaćeni u siječnju 2023</w:t>
      </w:r>
      <w:r w:rsidR="002B0FCD">
        <w:t>. godine.</w:t>
      </w:r>
    </w:p>
    <w:p w:rsidR="00EE5622" w:rsidRDefault="00EE5622"/>
    <w:p w:rsidR="006F11F5" w:rsidRDefault="006F11F5"/>
    <w:p w:rsidR="002B0FCD" w:rsidRDefault="002B0FCD"/>
    <w:p w:rsidR="002B0FCD" w:rsidRDefault="002B0FCD" w:rsidP="00881308">
      <w:pPr>
        <w:pStyle w:val="Naslov1"/>
        <w:rPr>
          <w:b/>
          <w:bCs/>
        </w:rPr>
      </w:pPr>
      <w:r>
        <w:rPr>
          <w:b/>
          <w:bCs/>
        </w:rPr>
        <w:t>Bilješke uz obrazac P-VRIO</w:t>
      </w:r>
    </w:p>
    <w:p w:rsidR="00DA344C" w:rsidRDefault="00DA344C" w:rsidP="00DA344C"/>
    <w:p w:rsidR="00DA344C" w:rsidRPr="00DA344C" w:rsidRDefault="005B1C5A" w:rsidP="00DA344C">
      <w:r>
        <w:t>Šifra P003 – iskazano ja povećanje u vrijednosti  dugotrajne imovine zbog investicijskog ulaganja, a</w:t>
      </w:r>
      <w:r w:rsidR="00DA344C">
        <w:t xml:space="preserve"> prema Odluci o dostavi podataka o kapitalnim ulaganjima iz pror</w:t>
      </w:r>
      <w:r w:rsidR="00C91D79">
        <w:t>ačuna Grada Čakovca tijekom 2022</w:t>
      </w:r>
      <w:r w:rsidR="000804F3">
        <w:t>. godine (Klasa:024-03/23-02/3</w:t>
      </w:r>
      <w:r w:rsidR="00DA344C">
        <w:t>; URBROJ:2109-2-</w:t>
      </w:r>
      <w:r w:rsidR="000804F3">
        <w:t>01-01-23-1) od 23.01.2023.</w:t>
      </w:r>
      <w:r>
        <w:t xml:space="preserve"> i  povećanje vrijednosti  zbog usklađivanja potraživanja za stanove sa stanjem koje je evidentirano u PBZ-u.</w:t>
      </w:r>
    </w:p>
    <w:p w:rsidR="000D7F3E" w:rsidRDefault="000D7F3E" w:rsidP="000D7F3E"/>
    <w:p w:rsidR="000D7F3E" w:rsidRDefault="005B1C5A" w:rsidP="00DF4069">
      <w:r>
        <w:t>Šifra P018</w:t>
      </w:r>
      <w:r w:rsidR="00DA344C">
        <w:t xml:space="preserve"> – iskazano je povećanje</w:t>
      </w:r>
      <w:r>
        <w:t xml:space="preserve"> u obujmu </w:t>
      </w:r>
      <w:r w:rsidR="008F4D31">
        <w:t>imovi</w:t>
      </w:r>
      <w:r w:rsidR="00DF4069">
        <w:t>ne  za nabavljeni namještaj za učionice i garderobne ormariće</w:t>
      </w:r>
      <w:r w:rsidR="008F4D31">
        <w:t xml:space="preserve"> </w:t>
      </w:r>
      <w:r w:rsidR="00DF4069">
        <w:t>također prema Odluci o dostavi podataka o kapitalnim ulaganjima iz proračuna Grada Čakovca tijekom 2022. godine (Klasa:024-03/23-02/3; URBROJ:2109-2-01-01-23-1) od 23.01.2023.</w:t>
      </w:r>
    </w:p>
    <w:p w:rsidR="00716BF0" w:rsidRDefault="00001668" w:rsidP="00716BF0">
      <w:r>
        <w:t xml:space="preserve"> </w:t>
      </w:r>
    </w:p>
    <w:p w:rsidR="002B0FCD" w:rsidRDefault="002B0FCD">
      <w:r>
        <w:t xml:space="preserve">                      </w:t>
      </w:r>
    </w:p>
    <w:p w:rsidR="002B0FCD" w:rsidRDefault="002B0FCD">
      <w:r>
        <w:t>OSOBA ZA KONTAKTIRANJE:                                ZAKONSKI PREDSTAVNIK:</w:t>
      </w:r>
    </w:p>
    <w:p w:rsidR="002B0FCD" w:rsidRDefault="002B0FCD">
      <w:r>
        <w:t xml:space="preserve">MARIJA VODOPIJA                                                           </w:t>
      </w:r>
      <w:r w:rsidRPr="00E11E9B">
        <w:rPr>
          <w:b/>
          <w:bCs/>
        </w:rPr>
        <w:t>Ravnateljica škole:</w:t>
      </w:r>
    </w:p>
    <w:p w:rsidR="002B0FCD" w:rsidRDefault="002B0FCD">
      <w:r>
        <w:t xml:space="preserve">                                                                                </w:t>
      </w:r>
      <w:r w:rsidR="007D0995">
        <w:t xml:space="preserve">   </w:t>
      </w:r>
      <w:r w:rsidR="000D7F3E">
        <w:t xml:space="preserve">      Nataša Hajdinjak, mag</w:t>
      </w:r>
      <w:r w:rsidR="007D0995">
        <w:t>.</w:t>
      </w:r>
      <w:r w:rsidR="000D7F3E">
        <w:t>prim.educ.</w:t>
      </w:r>
    </w:p>
    <w:p w:rsidR="002B0FCD" w:rsidRDefault="002B0FCD">
      <w:r>
        <w:t>TELEFON: 040 328-001</w:t>
      </w:r>
    </w:p>
    <w:sectPr w:rsidR="002B0FCD" w:rsidSect="0066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E61"/>
    <w:multiLevelType w:val="hybridMultilevel"/>
    <w:tmpl w:val="0486FE12"/>
    <w:lvl w:ilvl="0" w:tplc="918A0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09F"/>
    <w:multiLevelType w:val="hybridMultilevel"/>
    <w:tmpl w:val="8C74D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2B1A"/>
    <w:multiLevelType w:val="hybridMultilevel"/>
    <w:tmpl w:val="82323DA4"/>
    <w:lvl w:ilvl="0" w:tplc="4ECEBF04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75239AC"/>
    <w:multiLevelType w:val="hybridMultilevel"/>
    <w:tmpl w:val="C1405252"/>
    <w:lvl w:ilvl="0" w:tplc="5088E2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275E49"/>
    <w:multiLevelType w:val="hybridMultilevel"/>
    <w:tmpl w:val="E41C9694"/>
    <w:lvl w:ilvl="0" w:tplc="895C25B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646431"/>
    <w:multiLevelType w:val="hybridMultilevel"/>
    <w:tmpl w:val="500893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2D"/>
    <w:multiLevelType w:val="hybridMultilevel"/>
    <w:tmpl w:val="C73E3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BD0"/>
    <w:multiLevelType w:val="hybridMultilevel"/>
    <w:tmpl w:val="3E14FF2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0D25"/>
    <w:multiLevelType w:val="hybridMultilevel"/>
    <w:tmpl w:val="7BD8946E"/>
    <w:lvl w:ilvl="0" w:tplc="5CC0AFD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8C31FFF"/>
    <w:multiLevelType w:val="hybridMultilevel"/>
    <w:tmpl w:val="FC9C74B8"/>
    <w:lvl w:ilvl="0" w:tplc="DBEA4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05958"/>
    <w:multiLevelType w:val="hybridMultilevel"/>
    <w:tmpl w:val="246A4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63"/>
    <w:rsid w:val="00001668"/>
    <w:rsid w:val="00004AB0"/>
    <w:rsid w:val="00011298"/>
    <w:rsid w:val="00012F15"/>
    <w:rsid w:val="00014F0D"/>
    <w:rsid w:val="000210CC"/>
    <w:rsid w:val="00054FBA"/>
    <w:rsid w:val="000627FF"/>
    <w:rsid w:val="00063684"/>
    <w:rsid w:val="00074A31"/>
    <w:rsid w:val="00077063"/>
    <w:rsid w:val="000804F3"/>
    <w:rsid w:val="00080E00"/>
    <w:rsid w:val="00087312"/>
    <w:rsid w:val="000B0035"/>
    <w:rsid w:val="000B55EB"/>
    <w:rsid w:val="000B5617"/>
    <w:rsid w:val="000B7044"/>
    <w:rsid w:val="000C0663"/>
    <w:rsid w:val="000C7C94"/>
    <w:rsid w:val="000D600D"/>
    <w:rsid w:val="000D7F3E"/>
    <w:rsid w:val="000E7D42"/>
    <w:rsid w:val="000F7845"/>
    <w:rsid w:val="001034BC"/>
    <w:rsid w:val="001070FF"/>
    <w:rsid w:val="001116FC"/>
    <w:rsid w:val="00115879"/>
    <w:rsid w:val="001204BF"/>
    <w:rsid w:val="00135F77"/>
    <w:rsid w:val="00147987"/>
    <w:rsid w:val="001502CF"/>
    <w:rsid w:val="00152DF5"/>
    <w:rsid w:val="001574DE"/>
    <w:rsid w:val="00166A24"/>
    <w:rsid w:val="0017154D"/>
    <w:rsid w:val="0017197F"/>
    <w:rsid w:val="001777DB"/>
    <w:rsid w:val="001A4C37"/>
    <w:rsid w:val="001A7989"/>
    <w:rsid w:val="001B517C"/>
    <w:rsid w:val="001C3D5E"/>
    <w:rsid w:val="001C5ECA"/>
    <w:rsid w:val="001D3444"/>
    <w:rsid w:val="001D4CAE"/>
    <w:rsid w:val="001E3623"/>
    <w:rsid w:val="001E439B"/>
    <w:rsid w:val="001E6BB3"/>
    <w:rsid w:val="001E6E9C"/>
    <w:rsid w:val="001F331E"/>
    <w:rsid w:val="001F74EF"/>
    <w:rsid w:val="00202103"/>
    <w:rsid w:val="00214C87"/>
    <w:rsid w:val="00223202"/>
    <w:rsid w:val="00230917"/>
    <w:rsid w:val="0023166E"/>
    <w:rsid w:val="00240160"/>
    <w:rsid w:val="00246E57"/>
    <w:rsid w:val="00256152"/>
    <w:rsid w:val="00256677"/>
    <w:rsid w:val="002770B7"/>
    <w:rsid w:val="00283E72"/>
    <w:rsid w:val="002858F1"/>
    <w:rsid w:val="002931BF"/>
    <w:rsid w:val="002B0FCD"/>
    <w:rsid w:val="002C6AB9"/>
    <w:rsid w:val="002D5355"/>
    <w:rsid w:val="002E043A"/>
    <w:rsid w:val="002E319B"/>
    <w:rsid w:val="002F5976"/>
    <w:rsid w:val="00313980"/>
    <w:rsid w:val="00314532"/>
    <w:rsid w:val="00321563"/>
    <w:rsid w:val="00324E42"/>
    <w:rsid w:val="00327867"/>
    <w:rsid w:val="00330D4E"/>
    <w:rsid w:val="00354976"/>
    <w:rsid w:val="0036495E"/>
    <w:rsid w:val="0036556E"/>
    <w:rsid w:val="00374FF5"/>
    <w:rsid w:val="003953F2"/>
    <w:rsid w:val="003A11CD"/>
    <w:rsid w:val="003A249B"/>
    <w:rsid w:val="003B0EA0"/>
    <w:rsid w:val="003B66DE"/>
    <w:rsid w:val="003C4034"/>
    <w:rsid w:val="003D2710"/>
    <w:rsid w:val="003D7356"/>
    <w:rsid w:val="003E1C72"/>
    <w:rsid w:val="003E34E2"/>
    <w:rsid w:val="003F25AD"/>
    <w:rsid w:val="003F73EB"/>
    <w:rsid w:val="00410227"/>
    <w:rsid w:val="004131C3"/>
    <w:rsid w:val="004231C2"/>
    <w:rsid w:val="00424939"/>
    <w:rsid w:val="00424AA7"/>
    <w:rsid w:val="0042525B"/>
    <w:rsid w:val="00435B85"/>
    <w:rsid w:val="0043690A"/>
    <w:rsid w:val="0044383E"/>
    <w:rsid w:val="00463711"/>
    <w:rsid w:val="00464CF6"/>
    <w:rsid w:val="00470008"/>
    <w:rsid w:val="0047752A"/>
    <w:rsid w:val="00481580"/>
    <w:rsid w:val="00484BA2"/>
    <w:rsid w:val="00487753"/>
    <w:rsid w:val="00490330"/>
    <w:rsid w:val="004B2584"/>
    <w:rsid w:val="004E5129"/>
    <w:rsid w:val="004F44F4"/>
    <w:rsid w:val="004F7592"/>
    <w:rsid w:val="00524881"/>
    <w:rsid w:val="00526B4C"/>
    <w:rsid w:val="00530359"/>
    <w:rsid w:val="005420FB"/>
    <w:rsid w:val="00553065"/>
    <w:rsid w:val="00553516"/>
    <w:rsid w:val="00553556"/>
    <w:rsid w:val="00554C05"/>
    <w:rsid w:val="0056175B"/>
    <w:rsid w:val="0057115F"/>
    <w:rsid w:val="005711AA"/>
    <w:rsid w:val="00594DF6"/>
    <w:rsid w:val="005966B7"/>
    <w:rsid w:val="005A519E"/>
    <w:rsid w:val="005A6431"/>
    <w:rsid w:val="005B1C5A"/>
    <w:rsid w:val="005B2AD6"/>
    <w:rsid w:val="005B598F"/>
    <w:rsid w:val="005D33D3"/>
    <w:rsid w:val="005F1F79"/>
    <w:rsid w:val="005F5FA2"/>
    <w:rsid w:val="00603B1B"/>
    <w:rsid w:val="006120FA"/>
    <w:rsid w:val="006237C0"/>
    <w:rsid w:val="00631EAE"/>
    <w:rsid w:val="00645E8C"/>
    <w:rsid w:val="00661AA1"/>
    <w:rsid w:val="00663EE1"/>
    <w:rsid w:val="00667019"/>
    <w:rsid w:val="00667A6A"/>
    <w:rsid w:val="00672309"/>
    <w:rsid w:val="00677B30"/>
    <w:rsid w:val="006953C0"/>
    <w:rsid w:val="006A0244"/>
    <w:rsid w:val="006B4C35"/>
    <w:rsid w:val="006D71C5"/>
    <w:rsid w:val="006F11F5"/>
    <w:rsid w:val="006F2120"/>
    <w:rsid w:val="006F79B7"/>
    <w:rsid w:val="00705D17"/>
    <w:rsid w:val="007127D2"/>
    <w:rsid w:val="00712917"/>
    <w:rsid w:val="00716850"/>
    <w:rsid w:val="00716BF0"/>
    <w:rsid w:val="00717A86"/>
    <w:rsid w:val="00744F63"/>
    <w:rsid w:val="007470A9"/>
    <w:rsid w:val="0076052E"/>
    <w:rsid w:val="007607F0"/>
    <w:rsid w:val="00770CD7"/>
    <w:rsid w:val="007768D8"/>
    <w:rsid w:val="00776E6B"/>
    <w:rsid w:val="0079174B"/>
    <w:rsid w:val="007917FF"/>
    <w:rsid w:val="00792005"/>
    <w:rsid w:val="0079513F"/>
    <w:rsid w:val="007A65EC"/>
    <w:rsid w:val="007A6C9F"/>
    <w:rsid w:val="007B61F5"/>
    <w:rsid w:val="007B76DC"/>
    <w:rsid w:val="007C7260"/>
    <w:rsid w:val="007D0995"/>
    <w:rsid w:val="007E2741"/>
    <w:rsid w:val="007E3739"/>
    <w:rsid w:val="007F6B25"/>
    <w:rsid w:val="0080632B"/>
    <w:rsid w:val="00812A7D"/>
    <w:rsid w:val="008248C7"/>
    <w:rsid w:val="00842C84"/>
    <w:rsid w:val="00843CA7"/>
    <w:rsid w:val="00843CAD"/>
    <w:rsid w:val="00856BF1"/>
    <w:rsid w:val="00881308"/>
    <w:rsid w:val="008930BB"/>
    <w:rsid w:val="008C5D28"/>
    <w:rsid w:val="008D2335"/>
    <w:rsid w:val="008E2853"/>
    <w:rsid w:val="008F4D31"/>
    <w:rsid w:val="00901D9C"/>
    <w:rsid w:val="00910AD6"/>
    <w:rsid w:val="00936DA7"/>
    <w:rsid w:val="00941ECF"/>
    <w:rsid w:val="00945797"/>
    <w:rsid w:val="00950A0A"/>
    <w:rsid w:val="00974CCD"/>
    <w:rsid w:val="00976322"/>
    <w:rsid w:val="00984928"/>
    <w:rsid w:val="00985905"/>
    <w:rsid w:val="00986992"/>
    <w:rsid w:val="00996F28"/>
    <w:rsid w:val="009A0BC1"/>
    <w:rsid w:val="009A38A5"/>
    <w:rsid w:val="009C06BC"/>
    <w:rsid w:val="009C7042"/>
    <w:rsid w:val="009C792D"/>
    <w:rsid w:val="009D1539"/>
    <w:rsid w:val="009D339A"/>
    <w:rsid w:val="009E6960"/>
    <w:rsid w:val="009E74DD"/>
    <w:rsid w:val="009F0F77"/>
    <w:rsid w:val="009F36EA"/>
    <w:rsid w:val="00A069A5"/>
    <w:rsid w:val="00A21630"/>
    <w:rsid w:val="00A45BAB"/>
    <w:rsid w:val="00A5647B"/>
    <w:rsid w:val="00A56B89"/>
    <w:rsid w:val="00A6497F"/>
    <w:rsid w:val="00A6646E"/>
    <w:rsid w:val="00A8007A"/>
    <w:rsid w:val="00A868DC"/>
    <w:rsid w:val="00A94817"/>
    <w:rsid w:val="00AA3261"/>
    <w:rsid w:val="00AA6B51"/>
    <w:rsid w:val="00AA6F30"/>
    <w:rsid w:val="00AB2C76"/>
    <w:rsid w:val="00AB7E2D"/>
    <w:rsid w:val="00AC6340"/>
    <w:rsid w:val="00AD58F7"/>
    <w:rsid w:val="00AD6325"/>
    <w:rsid w:val="00AE3E88"/>
    <w:rsid w:val="00AE55DE"/>
    <w:rsid w:val="00B05845"/>
    <w:rsid w:val="00B14146"/>
    <w:rsid w:val="00B14EA3"/>
    <w:rsid w:val="00B17D25"/>
    <w:rsid w:val="00B2794A"/>
    <w:rsid w:val="00B31FE0"/>
    <w:rsid w:val="00B372B2"/>
    <w:rsid w:val="00B44F41"/>
    <w:rsid w:val="00B5613E"/>
    <w:rsid w:val="00B60EC9"/>
    <w:rsid w:val="00B74B25"/>
    <w:rsid w:val="00B8645F"/>
    <w:rsid w:val="00B94266"/>
    <w:rsid w:val="00BA1D62"/>
    <w:rsid w:val="00BA368F"/>
    <w:rsid w:val="00BA5BDF"/>
    <w:rsid w:val="00BA6D73"/>
    <w:rsid w:val="00BB1866"/>
    <w:rsid w:val="00BB54A1"/>
    <w:rsid w:val="00BB5523"/>
    <w:rsid w:val="00BB559E"/>
    <w:rsid w:val="00BC23BE"/>
    <w:rsid w:val="00BC2D9D"/>
    <w:rsid w:val="00BC4CE7"/>
    <w:rsid w:val="00BC5199"/>
    <w:rsid w:val="00BD3703"/>
    <w:rsid w:val="00BF05A4"/>
    <w:rsid w:val="00BF0A37"/>
    <w:rsid w:val="00BF144C"/>
    <w:rsid w:val="00BF2545"/>
    <w:rsid w:val="00BF68AA"/>
    <w:rsid w:val="00BF73D7"/>
    <w:rsid w:val="00C00957"/>
    <w:rsid w:val="00C176AC"/>
    <w:rsid w:val="00C30846"/>
    <w:rsid w:val="00C36C09"/>
    <w:rsid w:val="00C44F2F"/>
    <w:rsid w:val="00C468A4"/>
    <w:rsid w:val="00C50909"/>
    <w:rsid w:val="00C51754"/>
    <w:rsid w:val="00C53251"/>
    <w:rsid w:val="00C61D75"/>
    <w:rsid w:val="00C6553A"/>
    <w:rsid w:val="00C86E0B"/>
    <w:rsid w:val="00C91016"/>
    <w:rsid w:val="00C91D79"/>
    <w:rsid w:val="00CA28A3"/>
    <w:rsid w:val="00CA6481"/>
    <w:rsid w:val="00CA6ACC"/>
    <w:rsid w:val="00CB25D1"/>
    <w:rsid w:val="00CD478A"/>
    <w:rsid w:val="00CE03F4"/>
    <w:rsid w:val="00CE351E"/>
    <w:rsid w:val="00D15A31"/>
    <w:rsid w:val="00D217D6"/>
    <w:rsid w:val="00D327F0"/>
    <w:rsid w:val="00D348BF"/>
    <w:rsid w:val="00D3584C"/>
    <w:rsid w:val="00D376D7"/>
    <w:rsid w:val="00D5026A"/>
    <w:rsid w:val="00D50BA5"/>
    <w:rsid w:val="00D52724"/>
    <w:rsid w:val="00D5500C"/>
    <w:rsid w:val="00D5522D"/>
    <w:rsid w:val="00D64F40"/>
    <w:rsid w:val="00D65606"/>
    <w:rsid w:val="00D65CAB"/>
    <w:rsid w:val="00D868F5"/>
    <w:rsid w:val="00DA1807"/>
    <w:rsid w:val="00DA1E04"/>
    <w:rsid w:val="00DA344C"/>
    <w:rsid w:val="00DA38A0"/>
    <w:rsid w:val="00DE023C"/>
    <w:rsid w:val="00DF4069"/>
    <w:rsid w:val="00E062AC"/>
    <w:rsid w:val="00E11E9B"/>
    <w:rsid w:val="00E126F0"/>
    <w:rsid w:val="00E216A5"/>
    <w:rsid w:val="00E262BD"/>
    <w:rsid w:val="00E345BA"/>
    <w:rsid w:val="00E4184B"/>
    <w:rsid w:val="00E43CC1"/>
    <w:rsid w:val="00E51D8C"/>
    <w:rsid w:val="00E66E07"/>
    <w:rsid w:val="00E66EDB"/>
    <w:rsid w:val="00E7091B"/>
    <w:rsid w:val="00E76A9A"/>
    <w:rsid w:val="00E949AC"/>
    <w:rsid w:val="00EA43B6"/>
    <w:rsid w:val="00EA7613"/>
    <w:rsid w:val="00EB3FE4"/>
    <w:rsid w:val="00EB5E0A"/>
    <w:rsid w:val="00ED5D68"/>
    <w:rsid w:val="00EE04F5"/>
    <w:rsid w:val="00EE5622"/>
    <w:rsid w:val="00EF1479"/>
    <w:rsid w:val="00EF23BB"/>
    <w:rsid w:val="00F11E6D"/>
    <w:rsid w:val="00F54D7B"/>
    <w:rsid w:val="00F641BB"/>
    <w:rsid w:val="00F838E5"/>
    <w:rsid w:val="00F930DB"/>
    <w:rsid w:val="00F936D5"/>
    <w:rsid w:val="00F94D28"/>
    <w:rsid w:val="00FA1E7B"/>
    <w:rsid w:val="00FA6943"/>
    <w:rsid w:val="00FD1A8A"/>
    <w:rsid w:val="00FD5C78"/>
    <w:rsid w:val="00FD5FE1"/>
    <w:rsid w:val="00FE0595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090DE-98CE-47BE-9275-9F0E30D1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314532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1453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314532"/>
    <w:pPr>
      <w:keepNext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74C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974C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974CCD"/>
    <w:rPr>
      <w:rFonts w:ascii="Cambria" w:hAnsi="Cambria" w:cs="Cambria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BC51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74CCD"/>
    <w:rPr>
      <w:sz w:val="2"/>
      <w:szCs w:val="2"/>
    </w:rPr>
  </w:style>
  <w:style w:type="table" w:styleId="Reetkatablice">
    <w:name w:val="Table Grid"/>
    <w:basedOn w:val="Obinatablica"/>
    <w:locked/>
    <w:rsid w:val="00CA6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D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31E1-C324-471C-9FCC-D1CD12A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MEĐIMURSKA ŽUPANIJA                                            RAZINA:31</vt:lpstr>
    </vt:vector>
  </TitlesOfParts>
  <Company>III OŠ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MEĐIMURSKA ŽUPANIJA                                            RAZINA:31</dc:title>
  <dc:subject/>
  <dc:creator>racuno</dc:creator>
  <cp:keywords/>
  <cp:lastModifiedBy>Marija</cp:lastModifiedBy>
  <cp:revision>2</cp:revision>
  <cp:lastPrinted>2020-01-30T09:12:00Z</cp:lastPrinted>
  <dcterms:created xsi:type="dcterms:W3CDTF">2023-01-27T12:35:00Z</dcterms:created>
  <dcterms:modified xsi:type="dcterms:W3CDTF">2023-01-27T12:35:00Z</dcterms:modified>
</cp:coreProperties>
</file>